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sz w:val="44"/>
          <w:szCs w:val="44"/>
          <w:u w:val="none"/>
        </w:rPr>
      </w:pPr>
      <w:r>
        <w:rPr>
          <w:rFonts w:hint="default" w:ascii="Nimbus Roman No9 L" w:hAnsi="Nimbus Roman No9 L" w:eastAsia="方正小标宋简体" w:cs="Nimbus Roman No9 L"/>
          <w:sz w:val="44"/>
          <w:szCs w:val="44"/>
          <w:u w:val="none"/>
        </w:rPr>
        <w:t>青川县人民检察院工作报告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0" w:firstLineChars="0"/>
        <w:jc w:val="center"/>
        <w:textAlignment w:val="auto"/>
        <w:rPr>
          <w:rFonts w:hint="default" w:ascii="Nimbus Roman No9 L" w:hAnsi="Nimbus Roman No9 L" w:eastAsia="华文楷体" w:cs="Nimbus Roman No9 L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right="0" w:rightChars="0" w:firstLine="0"/>
        <w:jc w:val="center"/>
        <w:textAlignment w:val="auto"/>
        <w:rPr>
          <w:rFonts w:hint="eastAsia" w:ascii="Nimbus Roman No9 L" w:hAnsi="Nimbus Roman No9 L" w:eastAsia="仿宋_GB2312" w:cs="Nimbus Roman No9 L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b/>
          <w:bCs/>
          <w:color w:val="auto"/>
          <w:sz w:val="32"/>
          <w:szCs w:val="32"/>
          <w:u w:val="none"/>
          <w:lang w:val="en-US" w:eastAsia="zh-CN"/>
        </w:rPr>
        <w:t>2023年工作回顾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202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青川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县人民检察院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坚持以习近平新时代中国特色社会主义思想为指导，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认真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贯彻习近平法治思想，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全面贯彻党的二十大精神和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习近平总书记来川视察重要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指示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精神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，认真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落实《中共中央关于加强新时代检察机关法律监督工作的意见》，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深刻领悟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/>
        </w:rPr>
        <w:t>“两个确立”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的决定性意义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/>
        </w:rPr>
        <w:t>，增强“四个意识”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、坚定“四个自信”、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/>
        </w:rPr>
        <w:t>做到“两个维护”，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紧紧围绕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县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中心工作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能动履行法律监督职责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，为青川经济社会高质量发展提供了有力司法保障。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全年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办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理各类案件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657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个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案件获评市级典型案例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，11个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集体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和13人次获省、市、县级表彰。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“蜀道益行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·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青之川”公益诉讼品牌被省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检察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院评为“三培育三引领”第二批次检察产品特色品牌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“青佑青”未检品牌被省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检察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院评为2023年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度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全省检察机关十佳检察文化品牌。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u w:val="none"/>
          <w:lang w:eastAsia="zh-CN"/>
        </w:rPr>
        <w:t>一、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坚持能动履职，自觉服务中心大局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护航“平安青川”建设。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全年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批捕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33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人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起诉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138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638" w:leftChars="304" w:right="0" w:righ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从快从严办理“8.29”特大网络犯罪专案，起诉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4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人。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积极融入反腐败大局，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起诉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职务犯罪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7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聚焦安全生产、医疗监管等领域，发出社会治理类检察建议5件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2、护航民营经济健康发展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办理李某某等人销售假冒伪劣产品案、文某某等人销售假药案，批捕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人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起诉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3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为企业提供法律服务46次，解决企业</w:t>
      </w:r>
      <w:r>
        <w:rPr>
          <w:rFonts w:hint="default" w:ascii="Nimbus Roman No9 L" w:hAnsi="Nimbus Roman No9 L" w:eastAsia="仿宋_GB2312" w:cs="Nimbus Roman No9 L"/>
          <w:b w:val="0"/>
          <w:bCs w:val="0"/>
          <w:sz w:val="32"/>
          <w:szCs w:val="32"/>
          <w:u w:val="none"/>
          <w:lang w:val="en-US" w:eastAsia="zh-CN"/>
        </w:rPr>
        <w:t>法律风险防范等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具体问题13项。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护航生态环境保护。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办理环境资源类公益诉讼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" w:eastAsia="zh-CN"/>
        </w:rPr>
        <w:t>21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追缴生态补偿金27万元，增殖放流生态鱼苗5万余尾，清理固废物2吨，督促征收水资源税2.7万元。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唐家河建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成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全市首个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生物多样性法治教育基地。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二、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强化司法保障，践行法治为民宗旨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  <w:t>多元化解社会矛盾纠纷。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院领导包案处理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11件信访案件。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218名犯罪嫌疑人认罪认罚、退赃退赔。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5件轻微刑事案件当事人达成和解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35件民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事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案件当事人和解息诉。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  <w:t>着力保障弱势群体权益。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办理</w:t>
      </w: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国家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司法救助案件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" w:eastAsia="zh-CN" w:bidi="ar-SA"/>
        </w:rPr>
        <w:t>14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件</w:t>
      </w: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，救助困难案件当事人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14</w:t>
      </w: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名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，发放救助金6.75万元。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" w:eastAsia="zh-CN" w:bidi="ar-SA"/>
        </w:rPr>
        <w:t>帮助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28名农民工讨回被拖欠工资20余万元。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严厉打击侵害未成年人犯罪10人。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联合相关部门对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6名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刑事诉讼中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失管未成年人从生活、教育、医疗、心理等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进行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全面救助，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发放救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助金2.72万元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000000"/>
          <w:sz w:val="32"/>
          <w:szCs w:val="32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连续十年对1名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刑事诉讼中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失管未成年人进行全方位救助，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val="en-US" w:eastAsia="zh-CN"/>
        </w:rPr>
        <w:t>助力其考上大学并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圆梦军旅。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3、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解决民生领域重点问题。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推动相关职能部门整治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" w:eastAsia="zh-CN" w:bidi="ar"/>
        </w:rPr>
        <w:t>3起</w:t>
      </w:r>
      <w:r>
        <w:rPr>
          <w:rFonts w:hint="default" w:ascii="Nimbus Roman No9 L" w:hAnsi="Nimbus Roman No9 L" w:eastAsia="仿宋_GB2312" w:cs="Nimbus Roman No9 L"/>
          <w:kern w:val="0"/>
          <w:sz w:val="32"/>
          <w:szCs w:val="32"/>
          <w:lang w:val="en-US" w:eastAsia="zh-CN" w:bidi="ar"/>
        </w:rPr>
        <w:t>危害群众健康的违规经营行为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9"/>
          <w:rFonts w:hint="eastAsia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针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对</w:t>
      </w:r>
      <w:r>
        <w:rPr>
          <w:rFonts w:hint="default" w:ascii="Nimbus Roman No9 L" w:hAnsi="Nimbus Roman No9 L" w:eastAsia="仿宋_GB2312" w:cs="Nimbus Roman No9 L"/>
          <w:color w:val="auto"/>
          <w:sz w:val="32"/>
          <w:u w:val="none"/>
          <w:lang w:val="en-US" w:eastAsia="zh-CN"/>
        </w:rPr>
        <w:t>水资源污染、废品占道堆放、垃圾任意倾倒等</w:t>
      </w:r>
      <w:r>
        <w:rPr>
          <w:rFonts w:hint="eastAsia" w:ascii="Nimbus Roman No9 L" w:hAnsi="Nimbus Roman No9 L" w:eastAsia="仿宋_GB2312" w:cs="Nimbus Roman No9 L"/>
          <w:color w:val="auto"/>
          <w:sz w:val="32"/>
          <w:u w:val="none"/>
          <w:lang w:val="en-US" w:eastAsia="zh-CN"/>
        </w:rPr>
        <w:t>乱象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制发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检察建议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9份</w:t>
      </w:r>
      <w:r>
        <w:rPr>
          <w:rStyle w:val="9"/>
          <w:rFonts w:hint="default" w:ascii="Nimbus Roman No9 L" w:hAnsi="Nimbus Roman No9 L" w:eastAsia="仿宋_GB2312" w:cs="Nimbus Roman No9 L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推动相关职能部门对快递企业末端配送车辆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进行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全面整治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，制发检察建议2份，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促使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快递企业淘汰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更换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不合格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车37辆，40余名快递人员考取驾驶执照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847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黑体" w:cs="Nimbus Roman No9 L"/>
          <w:sz w:val="32"/>
          <w:szCs w:val="32"/>
          <w:u w:val="none"/>
          <w:lang w:eastAsia="zh-CN"/>
        </w:rPr>
        <w:t>三、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val="en"/>
        </w:rPr>
        <w:t>做优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shd w:val="clear" w:color="auto" w:fill="FFFFFF"/>
        </w:rPr>
        <w:t>监督主业，维护公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shd w:val="clear" w:color="auto" w:fill="FFFFFF"/>
          <w:lang w:eastAsia="zh-CN"/>
        </w:rPr>
        <w:t>平正义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1、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  <w:t>刑事检察进一步做优。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提前介入引导侦查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取证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58次，监督立案、撤案16件，纠正漏捕、漏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诉4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人，纠正侦查活动违法11件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提出抗诉1件。纠正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刑罚执行活动违法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行为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19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驻县看守所检察室被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 w:bidi="ar"/>
        </w:rPr>
        <w:t>省检察院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评为二级规范化检察室。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  <w:t>搭建“怠于执行涉案物品”应用模型，通过大数据对刑事裁判没收物品执行活动进行监督，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  <w:t>该模型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  <w:t>在全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  <w:t>省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u w:val="none"/>
          <w:lang w:val="en-US" w:eastAsia="zh-CN" w:bidi="ar"/>
        </w:rPr>
        <w:t>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C0000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建立轻微刑事案件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不起诉人开展公益服务制度，相关做法得到市人大常委会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主要领导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 w:bidi="ar"/>
        </w:rPr>
        <w:t>的肯定性批示。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val="en-US" w:eastAsia="zh-CN"/>
        </w:rPr>
        <w:t>2、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  <w:t>民事检察进一步做强。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开展涉住房公积金虚假诉讼监督专项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活动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对发现的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4起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虚假诉讼提出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再审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检察建议，督促涉案人员退缴住房公积金2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8.38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万元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开展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审判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、执行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活动监督，发出检察建议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16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办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理支持起诉案件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29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件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" w:eastAsia="zh-CN"/>
        </w:rPr>
        <w:t>，其中促成和解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28件，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" w:eastAsia="zh-CN"/>
        </w:rPr>
        <w:t>支持起诉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1件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。联合县总工会办理的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周某某、李某某务工受伤申请支持起诉案获评广元市劳动领域“十佳”维权案例。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</w:pP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sz w:val="32"/>
          <w:szCs w:val="32"/>
          <w:u w:val="none"/>
          <w:lang w:eastAsia="zh-CN"/>
        </w:rPr>
        <w:t>行政检察进一步做实。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办理行政检察监督案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29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，其中办理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行政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裁判结果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、审判活动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和执行活动监督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案件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4件，办理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政非诉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执行监督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19件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，办理行政违法监督案件6件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深化行刑反向衔接工作，对应当给予行政处罚的被不起诉人，移送行政部门处理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15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4、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公益诉讼进一步做好。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办理公益诉讼案件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35件，其中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办理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行政公益诉讼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28件，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办理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民事公益诉讼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案件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7件。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扩大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跨区域协作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“朋友圈”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，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新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吸纳九寨沟、西昌铁路、白龙江林区检察院加入大熊猫国家公园跨区域协作团队，毗邻检察机关相互移送涉生态环境案件3件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" w:eastAsia="zh-CN"/>
        </w:rPr>
        <w:t>与甘肃文县检察院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eastAsia="zh-CN"/>
        </w:rPr>
        <w:t>合作办理的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eastAsia="zh-CN"/>
        </w:rPr>
        <w:t>大熊猫国家公园跨区域保护协作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案被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市检察院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lang w:val="en-US" w:eastAsia="zh-CN"/>
        </w:rPr>
        <w:t>评为优秀典型案例，办案经验被检察日报等国</w:t>
      </w:r>
      <w:r>
        <w:rPr>
          <w:rFonts w:hint="default" w:ascii="Nimbus Roman No9 L" w:hAnsi="Nimbus Roman No9 L" w:eastAsia="仿宋_GB2312" w:cs="Nimbus Roman No9 L"/>
          <w:color w:val="auto"/>
          <w:sz w:val="32"/>
          <w:u w:val="none"/>
          <w:lang w:val="en-US" w:eastAsia="zh-CN"/>
        </w:rPr>
        <w:t>家级媒体报道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both"/>
        <w:textAlignment w:val="auto"/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default" w:ascii="Nimbus Roman No9 L" w:hAnsi="Nimbus Roman No9 L" w:eastAsia="黑体" w:cs="Nimbus Roman No9 L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Nimbus Roman No9 L" w:hAnsi="Nimbus Roman No9 L" w:eastAsia="黑体" w:cs="Nimbus Roman No9 L"/>
          <w:sz w:val="32"/>
          <w:szCs w:val="32"/>
          <w:u w:val="none"/>
          <w:lang w:val="en-US" w:eastAsia="zh-CN"/>
        </w:rPr>
        <w:t>四、</w:t>
      </w:r>
      <w:r>
        <w:rPr>
          <w:rFonts w:hint="eastAsia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强化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队伍建设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</w:rPr>
        <w:t>，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eastAsia="zh-CN"/>
        </w:rPr>
        <w:t>提升素质能力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1、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持续加强思想政治建设。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扎实开展学习贯彻习近平新时代中国特色社会主义思想主题教育。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开展党组理论学习中心组、党支部集中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学习20次，开展集中研讨8次。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主动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向县委、县委政法委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、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检察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院请示报告重大事项17次。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ind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落实意识形态和网络意识形态工作责任制，严格执行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对外信息发布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“三审三校”制度。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2、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持续加强纪律作风建设。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u w:val="none"/>
          <w:lang w:val="en-US" w:eastAsia="zh-CN" w:bidi="ar"/>
        </w:rPr>
        <w:t>按照市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u w:val="none"/>
          <w:lang w:val="en-US" w:eastAsia="zh-CN" w:bidi="ar"/>
        </w:rPr>
        <w:t>检察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u w:val="none"/>
          <w:lang w:val="en-US" w:eastAsia="zh-CN" w:bidi="ar"/>
        </w:rPr>
        <w:t>院</w:t>
      </w:r>
      <w:r>
        <w:rPr>
          <w:rFonts w:hint="eastAsia" w:ascii="Nimbus Roman No9 L" w:hAnsi="Nimbus Roman No9 L" w:eastAsia="仿宋_GB2312" w:cs="Nimbus Roman No9 L"/>
          <w:color w:val="auto"/>
          <w:kern w:val="0"/>
          <w:sz w:val="32"/>
          <w:szCs w:val="32"/>
          <w:u w:val="none"/>
          <w:lang w:val="en-US" w:eastAsia="zh-CN" w:bidi="ar"/>
        </w:rPr>
        <w:t>部署</w:t>
      </w:r>
      <w:r>
        <w:rPr>
          <w:rFonts w:hint="default" w:ascii="Nimbus Roman No9 L" w:hAnsi="Nimbus Roman No9 L" w:eastAsia="仿宋_GB2312" w:cs="Nimbus Roman No9 L"/>
          <w:color w:val="auto"/>
          <w:kern w:val="0"/>
          <w:sz w:val="32"/>
          <w:szCs w:val="32"/>
          <w:u w:val="none"/>
          <w:lang w:val="en-US" w:eastAsia="zh-CN" w:bidi="ar"/>
        </w:rPr>
        <w:t>开展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“廉洁润初心 铸魂担使命”一季一主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体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警示教育，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开展各类警示教育活动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val="en-US" w:eastAsia="zh-CN"/>
        </w:rPr>
        <w:t>16次。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结合县委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巡察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县委政法委政治督察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、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纪律作风巡查反馈问题</w:t>
      </w:r>
      <w:r>
        <w:rPr>
          <w:rFonts w:hint="default" w:ascii="Nimbus Roman No9 L" w:hAnsi="Nimbus Roman No9 L" w:eastAsia="仿宋_GB2312" w:cs="Nimbus Roman No9 L"/>
          <w:sz w:val="32"/>
          <w:szCs w:val="32"/>
          <w:lang w:eastAsia="zh-CN"/>
        </w:rPr>
        <w:t>和县委“管理规范年”工作要求，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修订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完善相关制度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</w:rPr>
        <w:t>严格落实防止干预司法“三个规定”，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主动记录报告有关事项</w:t>
      </w: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20</w:t>
      </w:r>
      <w:r>
        <w:rPr>
          <w:rFonts w:hint="eastAsia" w:ascii="Nimbus Roman No9 L" w:hAnsi="Nimbus Roman No9 L" w:eastAsia="仿宋_GB2312" w:cs="Nimbus Roman No9 L"/>
          <w:sz w:val="32"/>
          <w:szCs w:val="32"/>
          <w:lang w:eastAsia="zh-CN"/>
        </w:rPr>
        <w:t>件</w:t>
      </w:r>
      <w:r>
        <w:rPr>
          <w:rFonts w:hint="default" w:ascii="Nimbus Roman No9 L" w:hAnsi="Nimbus Roman No9 L" w:eastAsia="仿宋_GB2312" w:cs="Nimbus Roman No9 L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3、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持续提升干警专业素养。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举办“感恩检察学堂”6期，班子成员带头授课。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</w:pP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开展结队共建，在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队伍建设、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司法办案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等</w:t>
      </w:r>
      <w:r>
        <w:rPr>
          <w:rFonts w:hint="eastAsia" w:ascii="Nimbus Roman No9 L" w:hAnsi="Nimbus Roman No9 L" w:eastAsia="仿宋_GB2312" w:cs="Nimbus Roman No9 L"/>
          <w:sz w:val="32"/>
          <w:szCs w:val="32"/>
          <w:u w:val="none"/>
          <w:lang w:eastAsia="zh-CN"/>
        </w:rPr>
        <w:t>方面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  <w:lang w:eastAsia="zh-CN"/>
        </w:rPr>
        <w:t>取长补短</w:t>
      </w:r>
      <w:r>
        <w:rPr>
          <w:rFonts w:hint="default" w:ascii="Nimbus Roman No9 L" w:hAnsi="Nimbus Roman No9 L" w:eastAsia="仿宋_GB2312" w:cs="Nimbus Roman No9 L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选派优秀干警参加全市检察机关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业务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竞赛、全县文稿写作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比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赛，组织开展出庭评议、书记员速录比武、干警演讲比赛等活动。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1名干警被评为全市检察机关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首批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调研骨干人才，9名干警在竞赛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活动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中获奖。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4、</w:t>
      </w:r>
      <w:r>
        <w:rPr>
          <w:rFonts w:hint="default" w:ascii="Nimbus Roman No9 L" w:hAnsi="Nimbus Roman No9 L" w:eastAsia="楷体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持续提升检察公信力。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主动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接受人大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、政协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监督，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接受人大专项工作视察1次，向政协通报工作1次</w:t>
      </w:r>
      <w:r>
        <w:rPr>
          <w:rFonts w:hint="eastAsia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走访各级人大代表、政协委员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42人次，征求意见建议40余条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邀请人大代表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、政协委员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参与公开听证、旁听庭审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、检察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建议宣告送达等活动20余人次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邀请人民监督员监督办案18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次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，收集办案意见7条，全部整改并回复。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76" w:lineRule="exact"/>
        <w:ind w:left="0" w:lef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76" w:lineRule="exact"/>
        <w:jc w:val="center"/>
        <w:textAlignment w:val="auto"/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</w:pP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  <w:lang w:val="en-US" w:eastAsia="zh-CN"/>
        </w:rPr>
        <w:t>2024</w:t>
      </w:r>
      <w:r>
        <w:rPr>
          <w:rFonts w:hint="default" w:ascii="Nimbus Roman No9 L" w:hAnsi="Nimbus Roman No9 L" w:eastAsia="黑体" w:cs="Nimbus Roman No9 L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Nimbus Roman No9 L" w:hAnsi="Nimbus Roman No9 L" w:eastAsia="仿宋_GB2312" w:cs="Nimbus Roman No9 L"/>
          <w:color w:val="auto"/>
          <w:sz w:val="32"/>
          <w:szCs w:val="32"/>
          <w:u w:val="none"/>
        </w:rPr>
        <w:t>工作</w:t>
      </w:r>
      <w:r>
        <w:rPr>
          <w:rFonts w:hint="eastAsia" w:ascii="Nimbus Roman No9 L" w:hAnsi="Nimbus Roman No9 L" w:eastAsia="仿宋_GB2312" w:cs="Nimbus Roman No9 L"/>
          <w:color w:val="auto"/>
          <w:sz w:val="32"/>
          <w:szCs w:val="32"/>
          <w:u w:val="none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更强担当服务发展大局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更多</w:t>
      </w: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举措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维护人民利益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更实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监督推动高效履职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Nimbus Roman No9 L" w:hAnsi="Nimbus Roman No9 L" w:cs="Nimbus Roman No9 L"/>
          <w:sz w:val="32"/>
          <w:szCs w:val="32"/>
          <w:lang w:val="en-US" w:eastAsia="zh-CN"/>
        </w:rPr>
      </w:pPr>
      <w:r>
        <w:rPr>
          <w:rFonts w:hint="eastAsia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更大力度</w:t>
      </w:r>
      <w:r>
        <w:rPr>
          <w:rFonts w:hint="default" w:ascii="Nimbus Roman No9 L" w:hAnsi="Nimbus Roman No9 L" w:eastAsia="仿宋_GB2312" w:cs="Nimbus Roman No9 L"/>
          <w:color w:val="auto"/>
          <w:kern w:val="2"/>
          <w:sz w:val="32"/>
          <w:szCs w:val="32"/>
          <w:u w:val="none"/>
          <w:lang w:val="en-US" w:eastAsia="zh-CN" w:bidi="ar-SA"/>
        </w:rPr>
        <w:t>锻造检察铁军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textAlignment w:val="auto"/>
        <w:rPr>
          <w:rFonts w:hint="default" w:ascii="Nimbus Roman No9 L" w:hAnsi="Nimbus Roman No9 L" w:cs="Nimbus Roman No9 L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val="en" w:eastAsia="zh-CN"/>
        </w:rPr>
      </w:pPr>
    </w:p>
    <w:p>
      <w:pPr>
        <w:pStyle w:val="5"/>
        <w:rPr>
          <w:rFonts w:hint="default" w:ascii="Nimbus Roman No9 L" w:hAnsi="Nimbus Roman No9 L" w:eastAsia="方正小标宋简体" w:cs="Nimbus Roman No9 L"/>
          <w:color w:val="auto"/>
          <w:sz w:val="36"/>
          <w:szCs w:val="36"/>
          <w:u w:val="none"/>
          <w:lang w:val="en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Nimbus Roman No9 L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宋体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C8671"/>
    <w:multiLevelType w:val="singleLevel"/>
    <w:tmpl w:val="FBEC867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EB1226"/>
    <w:rsid w:val="274FDD5A"/>
    <w:rsid w:val="2FBE8779"/>
    <w:rsid w:val="3FBE0510"/>
    <w:rsid w:val="6D5F8EA6"/>
    <w:rsid w:val="6FFECCA1"/>
    <w:rsid w:val="77D72CB0"/>
    <w:rsid w:val="77F755CA"/>
    <w:rsid w:val="77FF4F50"/>
    <w:rsid w:val="7CED5329"/>
    <w:rsid w:val="7DFEBB35"/>
    <w:rsid w:val="7ED420C8"/>
    <w:rsid w:val="7FD755FE"/>
    <w:rsid w:val="7FF79D77"/>
    <w:rsid w:val="7FFCBDB1"/>
    <w:rsid w:val="9B5E4783"/>
    <w:rsid w:val="9FD7CE48"/>
    <w:rsid w:val="BE9B92A6"/>
    <w:rsid w:val="BFBFDE34"/>
    <w:rsid w:val="BFEF2AB3"/>
    <w:rsid w:val="D9FD8B0B"/>
    <w:rsid w:val="DFB4E509"/>
    <w:rsid w:val="EEF8EA41"/>
    <w:rsid w:val="F36F5A8B"/>
    <w:rsid w:val="F37B3893"/>
    <w:rsid w:val="F3BD3485"/>
    <w:rsid w:val="F5CBE0CE"/>
    <w:rsid w:val="FBB76FDA"/>
    <w:rsid w:val="FDFB9E34"/>
    <w:rsid w:val="FE8B7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qFormat="1" w:unhideWhenUsed="0" w:uiPriority="99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</w:style>
  <w:style w:type="paragraph" w:styleId="5">
    <w:name w:val="table of figures"/>
    <w:basedOn w:val="1"/>
    <w:next w:val="1"/>
    <w:semiHidden/>
    <w:qFormat/>
    <w:uiPriority w:val="99"/>
    <w:pPr>
      <w:ind w:left="200" w:leftChars="200" w:hanging="200" w:hangingChars="200"/>
    </w:p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TML Sample"/>
    <w:basedOn w:val="8"/>
    <w:qFormat/>
    <w:uiPriority w:val="0"/>
    <w:rPr>
      <w:rFonts w:ascii="Courier New" w:hAnsi="Courier New"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2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2018-11-29T09:47:00Z</dcterms:created>
  <dc:creator>clp</dc:creator>
  <cp:lastModifiedBy>clp</cp:lastModifiedBy>
  <dcterms:modified xsi:type="dcterms:W3CDTF">2024-09-09T11:29:38Z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B061D783BF79D46A63F6D665D3C99263</vt:lpwstr>
  </property>
</Properties>
</file>