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  <w:u w:val="none"/>
        </w:rPr>
      </w:pPr>
      <w:bookmarkStart w:id="0" w:name="_GoBack"/>
      <w:bookmarkEnd w:id="0"/>
      <w:r>
        <w:rPr>
          <w:rFonts w:hint="default" w:ascii="Nimbus Roman No9 L" w:hAnsi="Nimbus Roman No9 L" w:eastAsia="方正小标宋简体" w:cs="Nimbus Roman No9 L"/>
          <w:sz w:val="44"/>
          <w:szCs w:val="44"/>
          <w:u w:val="none"/>
        </w:rPr>
        <w:t>青川县人民检察院工作报告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0" w:firstLineChars="0"/>
        <w:jc w:val="center"/>
        <w:textAlignment w:val="auto"/>
        <w:rPr>
          <w:rFonts w:hint="default" w:ascii="Nimbus Roman No9 L" w:hAnsi="Nimbus Roman No9 L" w:eastAsia="华文楷体" w:cs="Nimbus Roman No9 L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right="0" w:rightChars="0" w:firstLine="0"/>
        <w:jc w:val="center"/>
        <w:textAlignment w:val="auto"/>
        <w:rPr>
          <w:rFonts w:hint="eastAsia" w:ascii="Nimbus Roman No9 L" w:hAnsi="Nimbus Roman No9 L" w:eastAsia="仿宋_GB2312" w:cs="Nimbus Roman No9 L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Nimbus Roman No9 L" w:hAnsi="Nimbus Roman No9 L" w:eastAsia="仿宋_GB2312" w:cs="Nimbus Roman No9 L"/>
          <w:b/>
          <w:bCs/>
          <w:color w:val="auto"/>
          <w:sz w:val="32"/>
          <w:szCs w:val="32"/>
          <w:u w:val="none"/>
          <w:lang w:val="en-US" w:eastAsia="zh-CN"/>
        </w:rPr>
        <w:t>2023年工作回顾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202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年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青川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县人民检察院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坚持以习近平新时代中国特色社会主义思想为指导，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认真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贯彻习近平法治思想，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全面贯彻党的二十大精神和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习近平总书记来川视察重要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指示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精神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，认真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落实《中共中央关于加强新时代检察机关法律监督工作的意见》，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深刻领悟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"/>
        </w:rPr>
        <w:t>“两个确立”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" w:eastAsia="zh-CN"/>
        </w:rPr>
        <w:t>的决定性意义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"/>
        </w:rPr>
        <w:t>，增强“四个意识”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" w:eastAsia="zh-CN"/>
        </w:rPr>
        <w:t>、坚定“四个自信”、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"/>
        </w:rPr>
        <w:t>做到“两个维护”，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紧紧围绕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县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委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中心工作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，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能动履行法律监督职责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" w:eastAsia="zh-CN"/>
        </w:rPr>
        <w:t>，为青川经济社会高质量发展提供了有力司法保障。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both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全年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办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" w:eastAsia="zh-CN"/>
        </w:rPr>
        <w:t>理各类案件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657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" w:eastAsia="zh-CN"/>
        </w:rPr>
        <w:t>件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" w:eastAsia="zh-CN"/>
        </w:rPr>
        <w:t>，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5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个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案件获评市级典型案例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，11个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集体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和13人次获省、市、县级表彰。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“蜀道益行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·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青之川”公益诉讼品牌被省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检察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院评为“三培育三引领”第二批次检察产品特色品牌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。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“青佑青”未检品牌被省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检察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院评为2023年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度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全省检察机关十佳检察文化品牌。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line="576" w:lineRule="exact"/>
        <w:ind w:left="0" w:leftChars="0" w:firstLine="640" w:firstLineChars="200"/>
        <w:jc w:val="both"/>
        <w:textAlignment w:val="auto"/>
        <w:rPr>
          <w:rFonts w:hint="default" w:ascii="Nimbus Roman No9 L" w:hAnsi="Nimbus Roman No9 L" w:eastAsia="黑体" w:cs="Nimbus Roman No9 L"/>
          <w:color w:val="auto"/>
          <w:sz w:val="32"/>
          <w:szCs w:val="32"/>
          <w:u w:val="none"/>
          <w:lang w:eastAsia="zh-CN"/>
        </w:rPr>
      </w:pPr>
      <w:r>
        <w:rPr>
          <w:rFonts w:hint="eastAsia" w:ascii="Nimbus Roman No9 L" w:hAnsi="Nimbus Roman No9 L" w:eastAsia="黑体" w:cs="Nimbus Roman No9 L"/>
          <w:sz w:val="32"/>
          <w:szCs w:val="32"/>
          <w:u w:val="none"/>
          <w:lang w:eastAsia="zh-CN"/>
        </w:rPr>
        <w:t>一、</w:t>
      </w:r>
      <w:r>
        <w:rPr>
          <w:rFonts w:hint="default" w:ascii="Nimbus Roman No9 L" w:hAnsi="Nimbus Roman No9 L" w:eastAsia="黑体" w:cs="Nimbus Roman No9 L"/>
          <w:color w:val="auto"/>
          <w:sz w:val="32"/>
          <w:szCs w:val="32"/>
          <w:u w:val="none"/>
          <w:lang w:eastAsia="zh-CN"/>
        </w:rPr>
        <w:t>坚持能动履职，自觉服务中心大局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val="en-US" w:eastAsia="zh-CN"/>
        </w:rPr>
        <w:t>1、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val="en-US" w:eastAsia="zh-CN"/>
        </w:rPr>
        <w:t>护航“平安青川”建设。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</w:pPr>
      <w:r>
        <w:rPr>
          <w:rFonts w:hint="eastAsia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val="en-US" w:eastAsia="zh-CN"/>
        </w:rPr>
        <w:t>全年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批捕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33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人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起诉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138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638" w:leftChars="304" w:right="0" w:rightChars="0" w:firstLine="0" w:firstLineChars="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从快从严办理“8.29”特大网络犯罪专案，起诉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" w:eastAsia="zh-CN"/>
        </w:rPr>
        <w:t>4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人。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" w:eastAsia="zh-CN"/>
        </w:rPr>
        <w:t>积极融入反腐败大局，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起诉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职务犯罪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7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聚焦安全生产、医疗监管等领域，发出社会治理类检察建议5件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val="en-US" w:eastAsia="zh-CN"/>
        </w:rPr>
        <w:t>2、护航民营经济健康发展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办理李某某等人销售假冒伪劣产品案、文某某等人销售假药案，批捕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人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起诉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人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highlight w:val="none"/>
          <w:u w:val="none"/>
          <w:lang w:eastAsia="zh-CN"/>
        </w:rPr>
        <w:t>积极推进涉案企业合规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highlight w:val="none"/>
          <w:u w:val="none"/>
          <w:lang w:eastAsia="zh-CN"/>
        </w:rPr>
        <w:t>工作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highlight w:val="none"/>
          <w:u w:val="none"/>
          <w:lang w:val="en-US" w:eastAsia="zh-CN"/>
        </w:rPr>
        <w:t>适用第三方监督评估机制办理涉案企业合规案件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  <w:t>为企业提供法律服务46次，解决企业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32"/>
          <w:u w:val="none"/>
          <w:lang w:val="en-US" w:eastAsia="zh-CN"/>
        </w:rPr>
        <w:t>法律风险防范等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  <w:t>具体问题13项。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val="en-US" w:eastAsia="zh-CN"/>
        </w:rPr>
        <w:t>3、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val="en-US" w:eastAsia="zh-CN"/>
        </w:rPr>
        <w:t>护航生态环境保护。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办理环境资源类公益诉讼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案件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" w:eastAsia="zh-CN"/>
        </w:rPr>
        <w:t>21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件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追缴生态补偿金27万元，增殖放流生态鱼苗5万余尾，清理固废物2吨，督促征收水资源税2.7万元。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在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唐家河建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成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全市首个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生物多样性法治教育基地。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line="576" w:lineRule="exact"/>
        <w:ind w:left="0" w:leftChars="0" w:firstLine="640" w:firstLineChars="200"/>
        <w:jc w:val="both"/>
        <w:textAlignment w:val="auto"/>
        <w:rPr>
          <w:rFonts w:hint="default" w:ascii="Nimbus Roman No9 L" w:hAnsi="Nimbus Roman No9 L" w:eastAsia="黑体" w:cs="Nimbus Roman No9 L"/>
          <w:color w:val="auto"/>
          <w:sz w:val="32"/>
          <w:szCs w:val="32"/>
          <w:u w:val="none"/>
          <w:lang w:eastAsia="zh-CN"/>
        </w:rPr>
      </w:pPr>
      <w:r>
        <w:rPr>
          <w:rFonts w:hint="eastAsia" w:ascii="Nimbus Roman No9 L" w:hAnsi="Nimbus Roman No9 L" w:eastAsia="黑体" w:cs="Nimbus Roman No9 L"/>
          <w:color w:val="auto"/>
          <w:sz w:val="32"/>
          <w:szCs w:val="32"/>
          <w:u w:val="none"/>
          <w:lang w:eastAsia="zh-CN"/>
        </w:rPr>
        <w:t>二、</w:t>
      </w:r>
      <w:r>
        <w:rPr>
          <w:rFonts w:hint="default" w:ascii="Nimbus Roman No9 L" w:hAnsi="Nimbus Roman No9 L" w:eastAsia="黑体" w:cs="Nimbus Roman No9 L"/>
          <w:color w:val="auto"/>
          <w:sz w:val="32"/>
          <w:szCs w:val="32"/>
          <w:u w:val="none"/>
          <w:lang w:eastAsia="zh-CN"/>
        </w:rPr>
        <w:t>强化司法保障，践行法治为民宗旨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val="en-US" w:eastAsia="zh-CN"/>
        </w:rPr>
        <w:t>1、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eastAsia="zh-CN"/>
        </w:rPr>
        <w:t>多元化解社会矛盾纠纷。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院领导包案处理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11件信访案件。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218名犯罪嫌疑人认罪认罚、退赃退赔。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leftChars="0" w:right="0" w:rightChars="0" w:firstLine="640" w:firstLineChars="200"/>
        <w:jc w:val="both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5件轻微刑事案件当事人达成和解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35件民</w:t>
      </w:r>
      <w:r>
        <w:rPr>
          <w:rFonts w:hint="default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  <w:t>事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案件当事人和解息诉。</w:t>
      </w:r>
    </w:p>
    <w:p>
      <w:pPr>
        <w:keepNext w:val="0"/>
        <w:keepLines w:val="0"/>
        <w:pageBreakBefore w:val="0"/>
        <w:widowControl w:val="0"/>
        <w:tabs>
          <w:tab w:val="left" w:pos="5847"/>
        </w:tabs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76" w:lineRule="exact"/>
        <w:ind w:left="0" w:leftChars="0" w:firstLine="640" w:firstLineChars="200"/>
        <w:jc w:val="both"/>
        <w:textAlignment w:val="auto"/>
        <w:rPr>
          <w:rFonts w:hint="default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val="en-US" w:eastAsia="zh-CN"/>
        </w:rPr>
        <w:t>2、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eastAsia="zh-CN"/>
        </w:rPr>
        <w:t>着力保障弱势群体权益。</w:t>
      </w:r>
    </w:p>
    <w:p>
      <w:pPr>
        <w:keepNext w:val="0"/>
        <w:keepLines w:val="0"/>
        <w:pageBreakBefore w:val="0"/>
        <w:widowControl w:val="0"/>
        <w:tabs>
          <w:tab w:val="left" w:pos="5847"/>
        </w:tabs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76" w:lineRule="exact"/>
        <w:ind w:left="0" w:lef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  <w:t>办理</w:t>
      </w:r>
      <w:r>
        <w:rPr>
          <w:rFonts w:hint="eastAsia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  <w:t>国家</w:t>
      </w:r>
      <w:r>
        <w:rPr>
          <w:rFonts w:hint="default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  <w:t>司法救助案件</w:t>
      </w:r>
      <w:r>
        <w:rPr>
          <w:rFonts w:hint="default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" w:eastAsia="zh-CN" w:bidi="ar-SA"/>
        </w:rPr>
        <w:t>14</w:t>
      </w:r>
      <w:r>
        <w:rPr>
          <w:rFonts w:hint="default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  <w:t>件</w:t>
      </w:r>
      <w:r>
        <w:rPr>
          <w:rFonts w:hint="eastAsia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  <w:t>，救助困难案件当事人</w:t>
      </w:r>
      <w:r>
        <w:rPr>
          <w:rFonts w:hint="default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  <w:t>14</w:t>
      </w:r>
      <w:r>
        <w:rPr>
          <w:rFonts w:hint="eastAsia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  <w:t>名</w:t>
      </w:r>
      <w:r>
        <w:rPr>
          <w:rFonts w:hint="default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  <w:t>，发放救助金6.75万元。</w:t>
      </w:r>
    </w:p>
    <w:p>
      <w:pPr>
        <w:keepNext w:val="0"/>
        <w:keepLines w:val="0"/>
        <w:pageBreakBefore w:val="0"/>
        <w:widowControl w:val="0"/>
        <w:tabs>
          <w:tab w:val="left" w:pos="5847"/>
        </w:tabs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76" w:lineRule="exact"/>
        <w:ind w:left="0" w:lef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" w:eastAsia="zh-CN" w:bidi="ar-SA"/>
        </w:rPr>
        <w:t>帮助</w:t>
      </w:r>
      <w:r>
        <w:rPr>
          <w:rFonts w:hint="default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  <w:t>28名农民工讨回被拖欠工资20余万元。</w:t>
      </w:r>
    </w:p>
    <w:p>
      <w:pPr>
        <w:keepNext w:val="0"/>
        <w:keepLines w:val="0"/>
        <w:pageBreakBefore w:val="0"/>
        <w:widowControl w:val="0"/>
        <w:tabs>
          <w:tab w:val="left" w:pos="5847"/>
        </w:tabs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76" w:lineRule="exact"/>
        <w:ind w:left="0" w:leftChars="0" w:firstLine="640" w:firstLineChars="200"/>
        <w:jc w:val="both"/>
        <w:textAlignment w:val="auto"/>
        <w:rPr>
          <w:rFonts w:hint="eastAsia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  <w:t>严厉打击侵害未成年人犯罪10人。</w:t>
      </w:r>
    </w:p>
    <w:p>
      <w:pPr>
        <w:keepNext w:val="0"/>
        <w:keepLines w:val="0"/>
        <w:pageBreakBefore w:val="0"/>
        <w:widowControl w:val="0"/>
        <w:tabs>
          <w:tab w:val="left" w:pos="5847"/>
        </w:tabs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76" w:lineRule="exact"/>
        <w:ind w:left="0" w:leftChars="0" w:firstLine="640" w:firstLineChars="200"/>
        <w:jc w:val="both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联合相关部门对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6名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刑事诉讼中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失管未成年人从生活、教育、医疗、心理等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进行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全面救助，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发放救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助金2.72万元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847"/>
        </w:tabs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76" w:lineRule="exact"/>
        <w:ind w:left="0" w:lef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000000"/>
          <w:sz w:val="32"/>
          <w:szCs w:val="32"/>
          <w:lang w:eastAsia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连续十年对1名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刑事诉讼中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失管未成年人进行全方位救助，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>助力其考上大学并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圆梦军旅。</w:t>
      </w:r>
    </w:p>
    <w:p>
      <w:pPr>
        <w:keepNext w:val="0"/>
        <w:keepLines w:val="0"/>
        <w:pageBreakBefore w:val="0"/>
        <w:widowControl w:val="0"/>
        <w:tabs>
          <w:tab w:val="left" w:pos="5847"/>
        </w:tabs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76" w:lineRule="exact"/>
        <w:ind w:left="0" w:leftChars="0" w:firstLine="640" w:firstLineChars="200"/>
        <w:jc w:val="both"/>
        <w:textAlignment w:val="auto"/>
        <w:rPr>
          <w:rFonts w:hint="default" w:ascii="Nimbus Roman No9 L" w:hAnsi="Nimbus Roman No9 L" w:eastAsia="楷体_GB2312" w:cs="Nimbus Roman No9 L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Nimbus Roman No9 L" w:hAnsi="Nimbus Roman No9 L" w:eastAsia="楷体_GB2312" w:cs="Nimbus Roman No9 L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3、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解决民生领域重点问题。</w:t>
      </w:r>
    </w:p>
    <w:p>
      <w:pPr>
        <w:keepNext w:val="0"/>
        <w:keepLines w:val="0"/>
        <w:pageBreakBefore w:val="0"/>
        <w:widowControl w:val="0"/>
        <w:tabs>
          <w:tab w:val="left" w:pos="5847"/>
        </w:tabs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76" w:lineRule="exact"/>
        <w:ind w:left="0" w:leftChars="0" w:firstLine="640" w:firstLineChars="200"/>
        <w:jc w:val="both"/>
        <w:textAlignment w:val="auto"/>
        <w:rPr>
          <w:rStyle w:val="9"/>
          <w:rFonts w:hint="default" w:ascii="Nimbus Roman No9 L" w:hAnsi="Nimbus Roman No9 L" w:eastAsia="仿宋_GB2312" w:cs="Nimbus Roman No9 L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lang w:val="en-US" w:eastAsia="zh-CN" w:bidi="ar"/>
        </w:rPr>
        <w:t>推动相关职能部门整治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lang w:val="en" w:eastAsia="zh-CN" w:bidi="ar"/>
        </w:rPr>
        <w:t>3起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lang w:val="en-US" w:eastAsia="zh-CN" w:bidi="ar"/>
        </w:rPr>
        <w:t>危害群众健康的违规经营行为</w:t>
      </w:r>
      <w:r>
        <w:rPr>
          <w:rStyle w:val="9"/>
          <w:rFonts w:hint="default" w:ascii="Nimbus Roman No9 L" w:hAnsi="Nimbus Roman No9 L" w:eastAsia="仿宋_GB2312" w:cs="Nimbus Roman No9 L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847"/>
        </w:tabs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76" w:lineRule="exact"/>
        <w:ind w:left="0" w:leftChars="0" w:firstLine="640" w:firstLineChars="200"/>
        <w:jc w:val="both"/>
        <w:textAlignment w:val="auto"/>
        <w:rPr>
          <w:rStyle w:val="9"/>
          <w:rFonts w:hint="default" w:ascii="Nimbus Roman No9 L" w:hAnsi="Nimbus Roman No9 L" w:eastAsia="仿宋_GB2312" w:cs="Nimbus Roman No9 L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9"/>
          <w:rFonts w:hint="eastAsia" w:ascii="Nimbus Roman No9 L" w:hAnsi="Nimbus Roman No9 L" w:eastAsia="仿宋_GB2312" w:cs="Nimbus Roman No9 L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针</w:t>
      </w:r>
      <w:r>
        <w:rPr>
          <w:rStyle w:val="9"/>
          <w:rFonts w:hint="default" w:ascii="Nimbus Roman No9 L" w:hAnsi="Nimbus Roman No9 L" w:eastAsia="仿宋_GB2312" w:cs="Nimbus Roman No9 L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对</w:t>
      </w:r>
      <w:r>
        <w:rPr>
          <w:rFonts w:hint="default" w:ascii="Nimbus Roman No9 L" w:hAnsi="Nimbus Roman No9 L" w:eastAsia="仿宋_GB2312" w:cs="Nimbus Roman No9 L"/>
          <w:color w:val="auto"/>
          <w:sz w:val="32"/>
          <w:u w:val="none"/>
          <w:lang w:val="en-US" w:eastAsia="zh-CN"/>
        </w:rPr>
        <w:t>水资源污染、废品占道堆放、垃圾任意倾倒等</w:t>
      </w:r>
      <w:r>
        <w:rPr>
          <w:rFonts w:hint="eastAsia" w:ascii="Nimbus Roman No9 L" w:hAnsi="Nimbus Roman No9 L" w:eastAsia="仿宋_GB2312" w:cs="Nimbus Roman No9 L"/>
          <w:color w:val="auto"/>
          <w:sz w:val="32"/>
          <w:u w:val="none"/>
          <w:lang w:val="en-US" w:eastAsia="zh-CN"/>
        </w:rPr>
        <w:t>乱象</w:t>
      </w:r>
      <w:r>
        <w:rPr>
          <w:rStyle w:val="9"/>
          <w:rFonts w:hint="default" w:ascii="Nimbus Roman No9 L" w:hAnsi="Nimbus Roman No9 L" w:eastAsia="仿宋_GB2312" w:cs="Nimbus Roman No9 L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  <w:t>制发</w:t>
      </w:r>
      <w:r>
        <w:rPr>
          <w:rStyle w:val="9"/>
          <w:rFonts w:hint="default" w:ascii="Nimbus Roman No9 L" w:hAnsi="Nimbus Roman No9 L" w:eastAsia="仿宋_GB2312" w:cs="Nimbus Roman No9 L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检察建议</w:t>
      </w:r>
      <w:r>
        <w:rPr>
          <w:rStyle w:val="9"/>
          <w:rFonts w:hint="default" w:ascii="Nimbus Roman No9 L" w:hAnsi="Nimbus Roman No9 L" w:eastAsia="仿宋_GB2312" w:cs="Nimbus Roman No9 L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  <w:t>9份</w:t>
      </w:r>
      <w:r>
        <w:rPr>
          <w:rStyle w:val="9"/>
          <w:rFonts w:hint="default" w:ascii="Nimbus Roman No9 L" w:hAnsi="Nimbus Roman No9 L" w:eastAsia="仿宋_GB2312" w:cs="Nimbus Roman No9 L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847"/>
        </w:tabs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76" w:lineRule="exact"/>
        <w:ind w:left="0" w:lef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" w:eastAsia="zh-CN" w:bidi="ar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推动相关职能部门对快递企业末端配送车辆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进行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全面整治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" w:eastAsia="zh-CN" w:bidi="ar"/>
        </w:rPr>
        <w:t>，制发检察建议2份，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lang w:val="en" w:eastAsia="zh-CN" w:bidi="ar"/>
        </w:rPr>
        <w:t>促使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快递企业淘汰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更换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" w:eastAsia="zh-CN" w:bidi="ar"/>
        </w:rPr>
        <w:t>不合格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车37辆，40余名快递人员考取驾驶执照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" w:eastAsia="zh-CN" w:bidi="ar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847"/>
        </w:tabs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76" w:lineRule="exact"/>
        <w:ind w:left="0" w:lef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line="576" w:lineRule="exact"/>
        <w:ind w:left="0" w:leftChars="0" w:firstLine="640" w:firstLineChars="200"/>
        <w:jc w:val="both"/>
        <w:textAlignment w:val="auto"/>
        <w:rPr>
          <w:rFonts w:hint="default" w:ascii="Nimbus Roman No9 L" w:hAnsi="Nimbus Roman No9 L" w:eastAsia="黑体" w:cs="Nimbus Roman No9 L"/>
          <w:color w:val="auto"/>
          <w:sz w:val="32"/>
          <w:szCs w:val="32"/>
          <w:u w:val="none"/>
          <w:lang w:eastAsia="zh-CN"/>
        </w:rPr>
      </w:pPr>
      <w:r>
        <w:rPr>
          <w:rFonts w:hint="eastAsia" w:ascii="Nimbus Roman No9 L" w:hAnsi="Nimbus Roman No9 L" w:eastAsia="黑体" w:cs="Nimbus Roman No9 L"/>
          <w:sz w:val="32"/>
          <w:szCs w:val="32"/>
          <w:u w:val="none"/>
          <w:lang w:eastAsia="zh-CN"/>
        </w:rPr>
        <w:t>三、</w:t>
      </w:r>
      <w:r>
        <w:rPr>
          <w:rFonts w:hint="default" w:ascii="Nimbus Roman No9 L" w:hAnsi="Nimbus Roman No9 L" w:eastAsia="黑体" w:cs="Nimbus Roman No9 L"/>
          <w:color w:val="auto"/>
          <w:sz w:val="32"/>
          <w:szCs w:val="32"/>
          <w:u w:val="none"/>
          <w:lang w:val="en"/>
        </w:rPr>
        <w:t>做优</w:t>
      </w:r>
      <w:r>
        <w:rPr>
          <w:rFonts w:hint="default" w:ascii="Nimbus Roman No9 L" w:hAnsi="Nimbus Roman No9 L" w:eastAsia="黑体" w:cs="Nimbus Roman No9 L"/>
          <w:color w:val="auto"/>
          <w:sz w:val="32"/>
          <w:szCs w:val="32"/>
          <w:u w:val="none"/>
          <w:shd w:val="clear" w:color="auto" w:fill="FFFFFF"/>
        </w:rPr>
        <w:t>监督主业，维护公</w:t>
      </w:r>
      <w:r>
        <w:rPr>
          <w:rFonts w:hint="default" w:ascii="Nimbus Roman No9 L" w:hAnsi="Nimbus Roman No9 L" w:eastAsia="黑体" w:cs="Nimbus Roman No9 L"/>
          <w:color w:val="auto"/>
          <w:sz w:val="32"/>
          <w:szCs w:val="32"/>
          <w:u w:val="none"/>
          <w:shd w:val="clear" w:color="auto" w:fill="FFFFFF"/>
          <w:lang w:eastAsia="zh-CN"/>
        </w:rPr>
        <w:t>平正义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default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val="en-US" w:eastAsia="zh-CN"/>
        </w:rPr>
        <w:t>1、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eastAsia="zh-CN"/>
        </w:rPr>
        <w:t>刑事检察进一步做优。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提前介入引导侦查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" w:eastAsia="zh-CN" w:bidi="ar"/>
        </w:rPr>
        <w:t>取证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58次，监督立案、撤案16件，纠正漏捕、漏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诉4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人，纠正侦查活动违法11件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提出抗诉1件。纠正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刑罚执行活动违法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行为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19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件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驻县看守所检察室被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" w:eastAsia="zh-CN" w:bidi="ar"/>
        </w:rPr>
        <w:t>省检察院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评为二级规范化检察室。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u w:val="none"/>
          <w:lang w:val="en-US" w:eastAsia="zh-CN" w:bidi="ar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u w:val="none"/>
          <w:lang w:val="en-US" w:eastAsia="zh-CN" w:bidi="ar"/>
        </w:rPr>
        <w:t>搭建“怠于执行涉案物品”应用模型，通过大数据对刑事裁判没收物品执行活动进行监督，</w:t>
      </w:r>
      <w:r>
        <w:rPr>
          <w:rFonts w:hint="eastAsia" w:ascii="Nimbus Roman No9 L" w:hAnsi="Nimbus Roman No9 L" w:eastAsia="仿宋_GB2312" w:cs="Nimbus Roman No9 L"/>
          <w:b w:val="0"/>
          <w:bCs w:val="0"/>
          <w:color w:val="auto"/>
          <w:sz w:val="32"/>
          <w:szCs w:val="32"/>
          <w:u w:val="none"/>
          <w:lang w:val="en-US" w:eastAsia="zh-CN" w:bidi="ar"/>
        </w:rPr>
        <w:t>该模型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u w:val="none"/>
          <w:lang w:val="en-US" w:eastAsia="zh-CN" w:bidi="ar"/>
        </w:rPr>
        <w:t>在全</w:t>
      </w:r>
      <w:r>
        <w:rPr>
          <w:rFonts w:hint="eastAsia" w:ascii="Nimbus Roman No9 L" w:hAnsi="Nimbus Roman No9 L" w:eastAsia="仿宋_GB2312" w:cs="Nimbus Roman No9 L"/>
          <w:b w:val="0"/>
          <w:bCs w:val="0"/>
          <w:color w:val="auto"/>
          <w:sz w:val="32"/>
          <w:szCs w:val="32"/>
          <w:u w:val="none"/>
          <w:lang w:val="en-US" w:eastAsia="zh-CN" w:bidi="ar"/>
        </w:rPr>
        <w:t>省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sz w:val="32"/>
          <w:szCs w:val="32"/>
          <w:u w:val="none"/>
          <w:lang w:val="en-US" w:eastAsia="zh-CN" w:bidi="ar"/>
        </w:rPr>
        <w:t>推广。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color w:val="C00000"/>
          <w:sz w:val="32"/>
          <w:szCs w:val="32"/>
          <w:u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建立轻微刑事案件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拟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不起诉人开展公益服务制度，相关做法得到市人大常委会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主要领导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-US" w:eastAsia="zh-CN" w:bidi="ar"/>
        </w:rPr>
        <w:t>的肯定性批示。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val="en-US" w:eastAsia="zh-CN"/>
        </w:rPr>
        <w:t>2、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eastAsia="zh-CN"/>
        </w:rPr>
        <w:t>民事检察进一步做强。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开展涉住房公积金虚假诉讼监督专项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活动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对发现的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4起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虚假诉讼提出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再审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检察建议，督促涉案人员退缴住房公积金2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8.38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万元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</w:pP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开展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审判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、执行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活动监督，发出检察建议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16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办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  <w:lang w:eastAsia="zh-CN"/>
        </w:rPr>
        <w:t>理支持起诉案件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  <w:t>29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  <w:lang w:eastAsia="zh-CN"/>
        </w:rPr>
        <w:t>件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  <w:lang w:val="en" w:eastAsia="zh-CN"/>
        </w:rPr>
        <w:t>，其中促成和解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  <w:t>28件，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  <w:lang w:val="en" w:eastAsia="zh-CN"/>
        </w:rPr>
        <w:t>支持起诉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  <w:t>1件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  <w:t>。联合县总工会办理的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  <w:t>周某某、李某某务工受伤申请支持起诉案获评广元市劳动领域“十佳”维权案例。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textAlignment w:val="auto"/>
        <w:rPr>
          <w:rFonts w:hint="default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default" w:ascii="Nimbus Roman No9 L" w:hAnsi="Nimbus Roman No9 L" w:eastAsia="楷体_GB2312" w:cs="Nimbus Roman No9 L"/>
          <w:b w:val="0"/>
          <w:bCs w:val="0"/>
          <w:color w:val="auto"/>
          <w:sz w:val="32"/>
          <w:szCs w:val="32"/>
          <w:u w:val="none"/>
          <w:lang w:eastAsia="zh-CN"/>
        </w:rPr>
        <w:t>行政检察进一步做实。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办理行政检察监督案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件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29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件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，其中办理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行政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裁判结果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、审判活动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和执行活动监督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案件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4件，办理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行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政非诉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执行监督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案件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19件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，办理行政违法监督案件6件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深化行刑反向衔接工作，对应当给予行政处罚的被不起诉人，移送行政部门处理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15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Nimbus Roman No9 L" w:hAnsi="Nimbus Roman No9 L" w:eastAsia="楷体_GB2312" w:cs="Nimbus Roman No9 L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Nimbus Roman No9 L" w:hAnsi="Nimbus Roman No9 L" w:eastAsia="楷体_GB2312" w:cs="Nimbus Roman No9 L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4、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公益诉讼进一步做好。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  <w:t>办理公益诉讼案件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35件，其中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办理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行政公益诉讼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案件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28件，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办理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民事公益诉讼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案件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7件。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扩大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跨区域协作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“朋友圈”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，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新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吸纳九寨沟、西昌铁路、白龙江林区检察院加入大熊猫国家公园跨区域协作团队，毗邻检察机关相互移送涉生态环境案件3件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" w:eastAsia="zh-CN"/>
        </w:rPr>
        <w:t>与甘肃文县检察院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eastAsia="zh-CN"/>
        </w:rPr>
        <w:t>合作办理的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lang w:eastAsia="zh-CN"/>
        </w:rPr>
        <w:t>大熊猫国家公园跨区域保护协作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-US" w:eastAsia="zh-CN"/>
        </w:rPr>
        <w:t>案被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lang w:val="en-US" w:eastAsia="zh-CN"/>
        </w:rPr>
        <w:t>市检察院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lang w:val="en-US" w:eastAsia="zh-CN"/>
        </w:rPr>
        <w:t>评为优秀典型案例，办案经验被检察日报等国</w:t>
      </w:r>
      <w:r>
        <w:rPr>
          <w:rFonts w:hint="default" w:ascii="Nimbus Roman No9 L" w:hAnsi="Nimbus Roman No9 L" w:eastAsia="仿宋_GB2312" w:cs="Nimbus Roman No9 L"/>
          <w:color w:val="auto"/>
          <w:sz w:val="32"/>
          <w:u w:val="none"/>
          <w:lang w:val="en-US" w:eastAsia="zh-CN"/>
        </w:rPr>
        <w:t>家级媒体报道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24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jc w:val="both"/>
        <w:textAlignment w:val="auto"/>
        <w:rPr>
          <w:rFonts w:hint="default" w:ascii="Nimbus Roman No9 L" w:hAnsi="Nimbus Roman No9 L" w:eastAsia="黑体" w:cs="Nimbus Roman No9 L"/>
          <w:color w:val="auto"/>
          <w:sz w:val="32"/>
          <w:szCs w:val="32"/>
          <w:u w:val="none"/>
          <w:lang w:eastAsia="zh-CN"/>
        </w:rPr>
      </w:pPr>
      <w:r>
        <w:rPr>
          <w:rFonts w:hint="default" w:ascii="Nimbus Roman No9 L" w:hAnsi="Nimbus Roman No9 L" w:eastAsia="黑体" w:cs="Nimbus Roman No9 L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Nimbus Roman No9 L" w:hAnsi="Nimbus Roman No9 L" w:eastAsia="黑体" w:cs="Nimbus Roman No9 L"/>
          <w:sz w:val="32"/>
          <w:szCs w:val="32"/>
          <w:u w:val="none"/>
          <w:lang w:val="en-US" w:eastAsia="zh-CN"/>
        </w:rPr>
        <w:t>四、</w:t>
      </w:r>
      <w:r>
        <w:rPr>
          <w:rFonts w:hint="eastAsia" w:ascii="Nimbus Roman No9 L" w:hAnsi="Nimbus Roman No9 L" w:eastAsia="黑体" w:cs="Nimbus Roman No9 L"/>
          <w:color w:val="auto"/>
          <w:sz w:val="32"/>
          <w:szCs w:val="32"/>
          <w:u w:val="none"/>
          <w:lang w:eastAsia="zh-CN"/>
        </w:rPr>
        <w:t>强化</w:t>
      </w:r>
      <w:r>
        <w:rPr>
          <w:rFonts w:hint="default" w:ascii="Nimbus Roman No9 L" w:hAnsi="Nimbus Roman No9 L" w:eastAsia="黑体" w:cs="Nimbus Roman No9 L"/>
          <w:color w:val="auto"/>
          <w:sz w:val="32"/>
          <w:szCs w:val="32"/>
          <w:u w:val="none"/>
          <w:lang w:eastAsia="zh-CN"/>
        </w:rPr>
        <w:t>队伍建设</w:t>
      </w:r>
      <w:r>
        <w:rPr>
          <w:rFonts w:hint="default" w:ascii="Nimbus Roman No9 L" w:hAnsi="Nimbus Roman No9 L" w:eastAsia="黑体" w:cs="Nimbus Roman No9 L"/>
          <w:color w:val="auto"/>
          <w:sz w:val="32"/>
          <w:szCs w:val="32"/>
          <w:u w:val="none"/>
        </w:rPr>
        <w:t>，</w:t>
      </w:r>
      <w:r>
        <w:rPr>
          <w:rFonts w:hint="default" w:ascii="Nimbus Roman No9 L" w:hAnsi="Nimbus Roman No9 L" w:eastAsia="黑体" w:cs="Nimbus Roman No9 L"/>
          <w:color w:val="auto"/>
          <w:sz w:val="32"/>
          <w:szCs w:val="32"/>
          <w:u w:val="none"/>
          <w:lang w:eastAsia="zh-CN"/>
        </w:rPr>
        <w:t>提升素质能力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default" w:ascii="Nimbus Roman No9 L" w:hAnsi="Nimbus Roman No9 L" w:eastAsia="楷体_GB2312" w:cs="Nimbus Roman No9 L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Nimbus Roman No9 L" w:hAnsi="Nimbus Roman No9 L" w:eastAsia="楷体_GB2312" w:cs="Nimbus Roman No9 L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1、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持续加强思想政治建设。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扎实开展学习贯彻习近平新时代中国特色社会主义思想主题教育。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开展党组理论学习中心组、党支部集中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学习20次，开展集中研讨8次。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主动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向县委、县委政法委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检察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院请示报告重大事项17次。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落实意识形态和网络意识形态工作责任制，严格执行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对外信息发布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“三审三校”制度。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Nimbus Roman No9 L" w:hAnsi="Nimbus Roman No9 L" w:eastAsia="楷体_GB2312" w:cs="Nimbus Roman No9 L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Nimbus Roman No9 L" w:hAnsi="Nimbus Roman No9 L" w:eastAsia="楷体_GB2312" w:cs="Nimbus Roman No9 L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2、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持续加强纪律作风建设。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按照市</w:t>
      </w:r>
      <w:r>
        <w:rPr>
          <w:rFonts w:hint="eastAsia" w:ascii="Nimbus Roman No9 L" w:hAnsi="Nimbus Roman No9 L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检察</w:t>
      </w:r>
      <w:r>
        <w:rPr>
          <w:rFonts w:hint="default" w:ascii="Nimbus Roman No9 L" w:hAnsi="Nimbus Roman No9 L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院</w:t>
      </w:r>
      <w:r>
        <w:rPr>
          <w:rFonts w:hint="eastAsia" w:ascii="Nimbus Roman No9 L" w:hAnsi="Nimbus Roman No9 L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部署</w:t>
      </w:r>
      <w:r>
        <w:rPr>
          <w:rFonts w:hint="default" w:ascii="Nimbus Roman No9 L" w:hAnsi="Nimbus Roman No9 L" w:eastAsia="仿宋_GB2312" w:cs="Nimbus Roman No9 L"/>
          <w:color w:val="auto"/>
          <w:kern w:val="0"/>
          <w:sz w:val="32"/>
          <w:szCs w:val="32"/>
          <w:u w:val="none"/>
          <w:lang w:val="en-US" w:eastAsia="zh-CN" w:bidi="ar"/>
        </w:rPr>
        <w:t>开展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</w:rPr>
        <w:t>“廉洁润初心 铸魂担使命”一季一主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  <w:lang w:eastAsia="zh-CN"/>
        </w:rPr>
        <w:t>体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</w:rPr>
        <w:t>警示教育，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  <w:lang w:eastAsia="zh-CN"/>
        </w:rPr>
        <w:t>开展各类警示教育活动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  <w:t>16次。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结合县委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巡察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、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县委政法委政治督察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、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纪律作风巡查反馈问题</w:t>
      </w:r>
      <w:r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  <w:t>和县委“管理规范年”工作要求，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修订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完善相关制度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严格落实防止干预司法“三个规定”，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主动记录报告有关事项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20</w:t>
      </w:r>
      <w:r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  <w:t>件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both"/>
        <w:textAlignment w:val="auto"/>
        <w:rPr>
          <w:rFonts w:hint="default" w:ascii="Nimbus Roman No9 L" w:hAnsi="Nimbus Roman No9 L" w:eastAsia="楷体_GB2312" w:cs="Nimbus Roman No9 L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Nimbus Roman No9 L" w:hAnsi="Nimbus Roman No9 L" w:eastAsia="楷体_GB2312" w:cs="Nimbus Roman No9 L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3、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持续提升干警专业素养。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u w:val="none"/>
          <w:lang w:eastAsia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u w:val="none"/>
          <w:lang w:eastAsia="zh-CN"/>
        </w:rPr>
        <w:t>举办“感恩检察学堂”6期，班子成员带头授课。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u w:val="none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u w:val="none"/>
          <w:lang w:eastAsia="zh-CN"/>
        </w:rPr>
        <w:t>开展结队共建，在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  <w:lang w:eastAsia="zh-CN"/>
        </w:rPr>
        <w:t>队伍建设、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none"/>
          <w:lang w:eastAsia="zh-CN"/>
        </w:rPr>
        <w:t>司法办案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  <w:lang w:eastAsia="zh-CN"/>
        </w:rPr>
        <w:t>等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none"/>
          <w:lang w:eastAsia="zh-CN"/>
        </w:rPr>
        <w:t>方面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  <w:lang w:eastAsia="zh-CN"/>
        </w:rPr>
        <w:t>取长补短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选派优秀干警参加全市检察机关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业务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竞赛、全县文稿写作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比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赛，组织开展出庭评议、书记员速录比武、干警演讲比赛等活动。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1名干警被评为全市检察机关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首批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调研骨干人才，9名干警在竞赛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活动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中获奖。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Nimbus Roman No9 L" w:hAnsi="Nimbus Roman No9 L" w:eastAsia="楷体_GB2312" w:cs="Nimbus Roman No9 L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Nimbus Roman No9 L" w:hAnsi="Nimbus Roman No9 L" w:eastAsia="楷体_GB2312" w:cs="Nimbus Roman No9 L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4、</w:t>
      </w:r>
      <w:r>
        <w:rPr>
          <w:rFonts w:hint="default" w:ascii="Nimbus Roman No9 L" w:hAnsi="Nimbus Roman No9 L" w:eastAsia="楷体_GB2312" w:cs="Nimbus Roman No9 L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持续提升检察公信力。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主动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接受人大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、政协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监督，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接受人大专项工作视察1次，向政协通报工作1次</w:t>
      </w:r>
      <w:r>
        <w:rPr>
          <w:rFonts w:hint="eastAsia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走访各级人大代表、政协委员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42人次，征求意见建议40余条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邀请人大代表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、政协委员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参与公开听证、旁听庭审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、检察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建议宣告送达等活动20余人次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邀请人民监督员监督办案18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次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，收集办案意见7条，全部整改并回复。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6" w:lineRule="exact"/>
        <w:jc w:val="center"/>
        <w:textAlignment w:val="auto"/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  <w:lang w:val="en-US" w:eastAsia="zh-CN"/>
        </w:rPr>
        <w:t>2024</w:t>
      </w:r>
      <w:r>
        <w:rPr>
          <w:rFonts w:hint="default" w:ascii="Nimbus Roman No9 L" w:hAnsi="Nimbus Roman No9 L" w:eastAsia="黑体" w:cs="Nimbus Roman No9 L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u w:val="none"/>
        </w:rPr>
        <w:t>工作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u w:val="none"/>
          <w:lang w:eastAsia="zh-CN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  <w:t>更强担当服务发展大局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  <w:t>更多</w:t>
      </w:r>
      <w:r>
        <w:rPr>
          <w:rFonts w:hint="eastAsia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  <w:t>举措</w:t>
      </w:r>
      <w:r>
        <w:rPr>
          <w:rFonts w:hint="default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  <w:t>维护人民利益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  <w:t>更实</w:t>
      </w:r>
      <w:r>
        <w:rPr>
          <w:rFonts w:hint="default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  <w:t>监督推动高效履职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Nimbus Roman No9 L" w:hAnsi="Nimbus Roman No9 L" w:cs="Nimbus Roman No9 L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  <w:t>更大力度</w:t>
      </w:r>
      <w:r>
        <w:rPr>
          <w:rFonts w:hint="default" w:ascii="Nimbus Roman No9 L" w:hAnsi="Nimbus Roman No9 L" w:eastAsia="仿宋_GB2312" w:cs="Nimbus Roman No9 L"/>
          <w:color w:val="auto"/>
          <w:kern w:val="2"/>
          <w:sz w:val="32"/>
          <w:szCs w:val="32"/>
          <w:u w:val="none"/>
          <w:lang w:val="en-US" w:eastAsia="zh-CN" w:bidi="ar-SA"/>
        </w:rPr>
        <w:t>锻造检察铁军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default" w:ascii="Nimbus Roman No9 L" w:hAnsi="Nimbus Roman No9 L" w:cs="Nimbus Roman No9 L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76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color w:val="auto"/>
          <w:sz w:val="36"/>
          <w:szCs w:val="36"/>
          <w:u w:val="none"/>
          <w:lang w:val="en" w:eastAsia="zh-CN"/>
        </w:rPr>
      </w:pPr>
    </w:p>
    <w:p>
      <w:pPr>
        <w:pStyle w:val="5"/>
        <w:rPr>
          <w:rFonts w:hint="default" w:ascii="Nimbus Roman No9 L" w:hAnsi="Nimbus Roman No9 L" w:eastAsia="方正小标宋简体" w:cs="Nimbus Roman No9 L"/>
          <w:color w:val="auto"/>
          <w:sz w:val="36"/>
          <w:szCs w:val="36"/>
          <w:u w:val="none"/>
          <w:lang w:val="en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Nimbus Roman No9 L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2010609030101010101"/>
    <w:charset w:val="00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EC8671"/>
    <w:multiLevelType w:val="singleLevel"/>
    <w:tmpl w:val="FBEC8671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B1226"/>
    <w:rsid w:val="274FDD5A"/>
    <w:rsid w:val="2FBE8779"/>
    <w:rsid w:val="3FBE0510"/>
    <w:rsid w:val="6FFECCA1"/>
    <w:rsid w:val="77D72CB0"/>
    <w:rsid w:val="77F755CA"/>
    <w:rsid w:val="77FF4F50"/>
    <w:rsid w:val="7CED5329"/>
    <w:rsid w:val="7DFEBB35"/>
    <w:rsid w:val="7ED420C8"/>
    <w:rsid w:val="7FD755FE"/>
    <w:rsid w:val="7FF79D77"/>
    <w:rsid w:val="7FFCBDB1"/>
    <w:rsid w:val="9B5E4783"/>
    <w:rsid w:val="9FD7CE48"/>
    <w:rsid w:val="BE9B92A6"/>
    <w:rsid w:val="BFBFDE34"/>
    <w:rsid w:val="BFEF2AB3"/>
    <w:rsid w:val="D9FD8B0B"/>
    <w:rsid w:val="DFB4E509"/>
    <w:rsid w:val="EEF8EA41"/>
    <w:rsid w:val="F36F5A8B"/>
    <w:rsid w:val="F37B3893"/>
    <w:rsid w:val="F3BD3485"/>
    <w:rsid w:val="F5CBE0CE"/>
    <w:rsid w:val="FBB76FDA"/>
    <w:rsid w:val="FDFB9E34"/>
    <w:rsid w:val="FE8B7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next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</w:style>
  <w:style w:type="paragraph" w:styleId="5">
    <w:name w:val="table of figures"/>
    <w:basedOn w:val="1"/>
    <w:next w:val="1"/>
    <w:semiHidden/>
    <w:qFormat/>
    <w:uiPriority w:val="99"/>
    <w:pPr>
      <w:ind w:left="200" w:leftChars="200" w:hanging="200" w:hangingChars="200"/>
    </w:p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TML Sample"/>
    <w:basedOn w:val="8"/>
    <w:qFormat/>
    <w:uiPriority w:val="0"/>
    <w:rPr>
      <w:rFonts w:ascii="Courier New" w:hAnsi="Courier New"/>
    </w:rPr>
  </w:style>
  <w:style w:type="character" w:customStyle="1" w:styleId="10">
    <w:name w:val="默认段落字体1"/>
    <w:uiPriority w:val="0"/>
  </w:style>
  <w:style w:type="paragraph" w:customStyle="1" w:styleId="11">
    <w:name w:val="Heading"/>
    <w:basedOn w:val="1"/>
    <w:next w:val="3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2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31.6666666666667</TotalTime>
  <ScaleCrop>false</ScaleCrop>
  <LinksUpToDate>false</LinksUpToDate>
  <Application>WPS Office_11.8.2.1131_F1E327BC-269C-435d-A152-05C5408002CA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2018-11-29T01:47:00Z</dcterms:created>
  <dc:creator>clp</dc:creator>
  <cp:lastModifiedBy>clp</cp:lastModifiedBy>
  <dcterms:modified xsi:type="dcterms:W3CDTF">2024-02-22T15:23:15Z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B061D783BF79D46A63F6D665D3C99263</vt:lpwstr>
  </property>
</Properties>
</file>