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t>苍溪县人民检察院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720" w:num="1"/>
          <w:docGrid w:type="lines" w:linePitch="312" w:charSpace="0"/>
        </w:sect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sdt>
      <w:sdtPr>
        <w:rPr>
          <w:rFonts w:ascii="宋体" w:hAnsi="宋体" w:eastAsia="宋体" w:cs="Times New Roman"/>
          <w:color w:val="auto"/>
          <w:kern w:val="2"/>
          <w:sz w:val="21"/>
          <w:szCs w:val="24"/>
          <w:lang w:val="en-US" w:eastAsia="zh-CN" w:bidi="ar-SA"/>
        </w:rPr>
        <w:id w:val="147470612"/>
        <w15:color w:val="DBDBDB"/>
        <w:docPartObj>
          <w:docPartGallery w:val="Table of Contents"/>
          <w:docPartUnique/>
        </w:docPartObj>
      </w:sdtPr>
      <w:sdtEndPr>
        <w:rPr>
          <w:rFonts w:ascii="Calibri" w:hAnsi="Calibri" w:eastAsia="方正仿宋简体" w:cs="Times New Roman"/>
          <w:b/>
          <w:color w:val="auto"/>
          <w:kern w:val="2"/>
          <w:sz w:val="21"/>
          <w:szCs w:val="24"/>
          <w:lang w:val="en-US" w:eastAsia="zh-CN" w:bidi="ar-SA"/>
        </w:rPr>
      </w:sdtEndPr>
      <w:sdtContent>
        <w:p>
          <w:pPr>
            <w:spacing w:before="0" w:beforeLines="0" w:after="0" w:afterLines="0" w:line="360" w:lineRule="auto"/>
            <w:ind w:left="0" w:leftChars="0" w:right="0" w:rightChars="0" w:firstLine="0" w:firstLineChars="0"/>
            <w:jc w:val="center"/>
          </w:pPr>
          <w:r>
            <w:rPr>
              <w:rFonts w:ascii="宋体" w:hAnsi="宋体" w:eastAsia="宋体"/>
              <w:sz w:val="21"/>
            </w:rPr>
            <w:t>目录</w:t>
          </w:r>
        </w:p>
        <w:p>
          <w:pPr>
            <w:pStyle w:val="15"/>
            <w:tabs>
              <w:tab w:val="right" w:leader="dot" w:pos="8845"/>
            </w:tabs>
            <w:spacing w:line="360" w:lineRule="auto"/>
            <w:rPr>
              <w:b/>
            </w:rPr>
          </w:pPr>
          <w:r>
            <w:fldChar w:fldCharType="begin"/>
          </w:r>
          <w:r>
            <w:instrText xml:space="preserve">TOC \o "1-2" \h \u </w:instrText>
          </w:r>
          <w:r>
            <w:fldChar w:fldCharType="separate"/>
          </w:r>
          <w:r>
            <w:rPr>
              <w:b/>
            </w:rPr>
            <w:fldChar w:fldCharType="begin"/>
          </w:r>
          <w:r>
            <w:rPr>
              <w:b/>
            </w:rPr>
            <w:instrText xml:space="preserve"> HYPERLINK \l _Toc3469 </w:instrText>
          </w:r>
          <w:r>
            <w:rPr>
              <w:b/>
            </w:rPr>
            <w:fldChar w:fldCharType="separate"/>
          </w:r>
          <w:r>
            <w:rPr>
              <w:rFonts w:hint="eastAsia" w:ascii="黑体" w:hAnsi="黑体" w:eastAsia="黑体" w:cs="黑体"/>
              <w:b/>
              <w:szCs w:val="32"/>
              <w:lang w:val="en-US" w:eastAsia="zh-CN"/>
            </w:rPr>
            <w:t>一、基本职能及主要工作</w:t>
          </w:r>
          <w:r>
            <w:rPr>
              <w:b/>
            </w:rPr>
            <w:tab/>
          </w:r>
          <w:r>
            <w:rPr>
              <w:b/>
            </w:rPr>
            <w:fldChar w:fldCharType="begin"/>
          </w:r>
          <w:r>
            <w:rPr>
              <w:b/>
            </w:rPr>
            <w:instrText xml:space="preserve"> PAGEREF _Toc3469 \h </w:instrText>
          </w:r>
          <w:r>
            <w:rPr>
              <w:b/>
            </w:rPr>
            <w:fldChar w:fldCharType="separate"/>
          </w:r>
          <w:r>
            <w:rPr>
              <w:b/>
            </w:rPr>
            <w:t>3</w:t>
          </w:r>
          <w:r>
            <w:rPr>
              <w:b/>
            </w:rPr>
            <w:fldChar w:fldCharType="end"/>
          </w:r>
          <w:r>
            <w:rPr>
              <w:b/>
            </w:rPr>
            <w:fldChar w:fldCharType="end"/>
          </w:r>
        </w:p>
        <w:p>
          <w:pPr>
            <w:pStyle w:val="16"/>
            <w:tabs>
              <w:tab w:val="right" w:leader="dot" w:pos="8845"/>
            </w:tabs>
            <w:spacing w:line="360" w:lineRule="auto"/>
          </w:pPr>
          <w:r>
            <w:fldChar w:fldCharType="begin"/>
          </w:r>
          <w:r>
            <w:instrText xml:space="preserve"> HYPERLINK \l _Toc12136 </w:instrText>
          </w:r>
          <w: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苍溪县人民检察院</w:t>
          </w:r>
          <w:r>
            <w:rPr>
              <w:rFonts w:hint="eastAsia" w:ascii="楷体_GB2312" w:hAnsi="楷体_GB2312" w:eastAsia="楷体_GB2312" w:cs="楷体_GB2312"/>
              <w:szCs w:val="32"/>
            </w:rPr>
            <w:t>职能简介</w:t>
          </w:r>
          <w:r>
            <w:tab/>
          </w:r>
          <w:r>
            <w:fldChar w:fldCharType="begin"/>
          </w:r>
          <w:r>
            <w:instrText xml:space="preserve"> PAGEREF _Toc12136 \h </w:instrText>
          </w:r>
          <w:r>
            <w:fldChar w:fldCharType="separate"/>
          </w:r>
          <w:r>
            <w:t>3</w:t>
          </w:r>
          <w:r>
            <w:fldChar w:fldCharType="end"/>
          </w:r>
          <w:r>
            <w:fldChar w:fldCharType="end"/>
          </w:r>
        </w:p>
        <w:p>
          <w:pPr>
            <w:pStyle w:val="16"/>
            <w:tabs>
              <w:tab w:val="right" w:leader="dot" w:pos="8845"/>
            </w:tabs>
            <w:spacing w:line="360" w:lineRule="auto"/>
          </w:pPr>
          <w:r>
            <w:fldChar w:fldCharType="begin"/>
          </w:r>
          <w:r>
            <w:instrText xml:space="preserve"> HYPERLINK \l _Toc23155 </w:instrText>
          </w:r>
          <w: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苍溪县人民检察院</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_Toc23155 \h </w:instrText>
          </w:r>
          <w:r>
            <w:fldChar w:fldCharType="separate"/>
          </w:r>
          <w:r>
            <w:t>3</w:t>
          </w:r>
          <w:r>
            <w:fldChar w:fldCharType="end"/>
          </w:r>
          <w:r>
            <w:fldChar w:fldCharType="end"/>
          </w:r>
        </w:p>
        <w:p>
          <w:pPr>
            <w:pStyle w:val="15"/>
            <w:tabs>
              <w:tab w:val="right" w:leader="dot" w:pos="8845"/>
            </w:tabs>
            <w:spacing w:line="360" w:lineRule="auto"/>
            <w:rPr>
              <w:b/>
            </w:rPr>
          </w:pPr>
          <w:r>
            <w:rPr>
              <w:b/>
            </w:rPr>
            <w:fldChar w:fldCharType="begin"/>
          </w:r>
          <w:r>
            <w:rPr>
              <w:b/>
            </w:rPr>
            <w:instrText xml:space="preserve"> HYPERLINK \l _Toc2671 </w:instrText>
          </w:r>
          <w:r>
            <w:rPr>
              <w:b/>
            </w:rPr>
            <w:fldChar w:fldCharType="separate"/>
          </w:r>
          <w:r>
            <w:rPr>
              <w:rFonts w:hint="eastAsia" w:ascii="黑体" w:hAnsi="黑体" w:eastAsia="黑体" w:cs="黑体"/>
              <w:b/>
              <w:szCs w:val="32"/>
              <w:lang w:val="en-US" w:eastAsia="zh-CN"/>
            </w:rPr>
            <w:t>二、部门预算单位构成</w:t>
          </w:r>
          <w:r>
            <w:rPr>
              <w:b/>
            </w:rPr>
            <w:tab/>
          </w:r>
          <w:r>
            <w:rPr>
              <w:b/>
            </w:rPr>
            <w:fldChar w:fldCharType="begin"/>
          </w:r>
          <w:r>
            <w:rPr>
              <w:b/>
            </w:rPr>
            <w:instrText xml:space="preserve"> PAGEREF _Toc2671 \h </w:instrText>
          </w:r>
          <w:r>
            <w:rPr>
              <w:b/>
            </w:rPr>
            <w:fldChar w:fldCharType="separate"/>
          </w:r>
          <w:r>
            <w:rPr>
              <w:b/>
            </w:rPr>
            <w:t>5</w:t>
          </w:r>
          <w:r>
            <w:rPr>
              <w:b/>
            </w:rPr>
            <w:fldChar w:fldCharType="end"/>
          </w:r>
          <w:r>
            <w:rPr>
              <w:b/>
            </w:rPr>
            <w:fldChar w:fldCharType="end"/>
          </w:r>
        </w:p>
        <w:p>
          <w:pPr>
            <w:pStyle w:val="15"/>
            <w:tabs>
              <w:tab w:val="right" w:leader="dot" w:pos="8845"/>
            </w:tabs>
            <w:spacing w:line="360" w:lineRule="auto"/>
            <w:rPr>
              <w:b/>
            </w:rPr>
          </w:pPr>
          <w:r>
            <w:rPr>
              <w:b/>
            </w:rPr>
            <w:fldChar w:fldCharType="begin"/>
          </w:r>
          <w:r>
            <w:rPr>
              <w:b/>
            </w:rPr>
            <w:instrText xml:space="preserve"> HYPERLINK \l _Toc32342 </w:instrText>
          </w:r>
          <w:r>
            <w:rPr>
              <w:b/>
            </w:rPr>
            <w:fldChar w:fldCharType="separate"/>
          </w:r>
          <w:r>
            <w:rPr>
              <w:rFonts w:hint="eastAsia" w:ascii="黑体" w:hAnsi="黑体" w:eastAsia="黑体" w:cs="黑体"/>
              <w:b/>
              <w:szCs w:val="32"/>
              <w:lang w:val="en-US" w:eastAsia="zh-CN"/>
            </w:rPr>
            <w:t>三、收支预算情况说明</w:t>
          </w:r>
          <w:r>
            <w:rPr>
              <w:b/>
            </w:rPr>
            <w:tab/>
          </w:r>
          <w:r>
            <w:rPr>
              <w:b/>
            </w:rPr>
            <w:fldChar w:fldCharType="begin"/>
          </w:r>
          <w:r>
            <w:rPr>
              <w:b/>
            </w:rPr>
            <w:instrText xml:space="preserve"> PAGEREF _Toc32342 \h </w:instrText>
          </w:r>
          <w:r>
            <w:rPr>
              <w:b/>
            </w:rPr>
            <w:fldChar w:fldCharType="separate"/>
          </w:r>
          <w:r>
            <w:rPr>
              <w:b/>
            </w:rPr>
            <w:t>5</w:t>
          </w:r>
          <w:r>
            <w:rPr>
              <w:b/>
            </w:rPr>
            <w:fldChar w:fldCharType="end"/>
          </w:r>
          <w:r>
            <w:rPr>
              <w:b/>
            </w:rPr>
            <w:fldChar w:fldCharType="end"/>
          </w:r>
        </w:p>
        <w:p>
          <w:pPr>
            <w:pStyle w:val="16"/>
            <w:tabs>
              <w:tab w:val="right" w:leader="dot" w:pos="8845"/>
            </w:tabs>
            <w:spacing w:line="360" w:lineRule="auto"/>
          </w:pPr>
          <w:r>
            <w:fldChar w:fldCharType="begin"/>
          </w:r>
          <w:r>
            <w:instrText xml:space="preserve"> HYPERLINK \l _Toc4477 </w:instrText>
          </w:r>
          <w: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_Toc4477 \h </w:instrText>
          </w:r>
          <w:r>
            <w:fldChar w:fldCharType="separate"/>
          </w:r>
          <w:r>
            <w:t>6</w:t>
          </w:r>
          <w:r>
            <w:fldChar w:fldCharType="end"/>
          </w:r>
          <w:r>
            <w:fldChar w:fldCharType="end"/>
          </w:r>
        </w:p>
        <w:p>
          <w:pPr>
            <w:pStyle w:val="16"/>
            <w:tabs>
              <w:tab w:val="right" w:leader="dot" w:pos="8845"/>
            </w:tabs>
            <w:spacing w:line="360" w:lineRule="auto"/>
          </w:pPr>
          <w:r>
            <w:fldChar w:fldCharType="begin"/>
          </w:r>
          <w:r>
            <w:instrText xml:space="preserve"> HYPERLINK \l _Toc23588 </w:instrText>
          </w:r>
          <w: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_Toc23588 \h </w:instrText>
          </w:r>
          <w:r>
            <w:fldChar w:fldCharType="separate"/>
          </w:r>
          <w:r>
            <w:t>6</w:t>
          </w:r>
          <w:r>
            <w:fldChar w:fldCharType="end"/>
          </w:r>
          <w:r>
            <w:fldChar w:fldCharType="end"/>
          </w:r>
        </w:p>
        <w:p>
          <w:pPr>
            <w:pStyle w:val="15"/>
            <w:tabs>
              <w:tab w:val="right" w:leader="dot" w:pos="8845"/>
            </w:tabs>
            <w:spacing w:line="360" w:lineRule="auto"/>
            <w:rPr>
              <w:b/>
            </w:rPr>
          </w:pPr>
          <w:r>
            <w:rPr>
              <w:b/>
            </w:rPr>
            <w:fldChar w:fldCharType="begin"/>
          </w:r>
          <w:r>
            <w:rPr>
              <w:b/>
            </w:rPr>
            <w:instrText xml:space="preserve"> HYPERLINK \l _Toc15822 </w:instrText>
          </w:r>
          <w:r>
            <w:rPr>
              <w:b/>
            </w:rPr>
            <w:fldChar w:fldCharType="separate"/>
          </w:r>
          <w:r>
            <w:rPr>
              <w:rFonts w:hint="eastAsia" w:ascii="黑体" w:hAnsi="黑体" w:eastAsia="黑体" w:cs="黑体"/>
              <w:b/>
              <w:szCs w:val="32"/>
              <w:lang w:val="en-US" w:eastAsia="zh-CN"/>
            </w:rPr>
            <w:t>四、财政拨款收支预算情况说明</w:t>
          </w:r>
          <w:r>
            <w:rPr>
              <w:b/>
            </w:rPr>
            <w:tab/>
          </w:r>
          <w:r>
            <w:rPr>
              <w:b/>
            </w:rPr>
            <w:fldChar w:fldCharType="begin"/>
          </w:r>
          <w:r>
            <w:rPr>
              <w:b/>
            </w:rPr>
            <w:instrText xml:space="preserve"> PAGEREF _Toc15822 \h </w:instrText>
          </w:r>
          <w:r>
            <w:rPr>
              <w:b/>
            </w:rPr>
            <w:fldChar w:fldCharType="separate"/>
          </w:r>
          <w:r>
            <w:rPr>
              <w:b/>
            </w:rPr>
            <w:t>6</w:t>
          </w:r>
          <w:r>
            <w:rPr>
              <w:b/>
            </w:rPr>
            <w:fldChar w:fldCharType="end"/>
          </w:r>
          <w:r>
            <w:rPr>
              <w:b/>
            </w:rPr>
            <w:fldChar w:fldCharType="end"/>
          </w:r>
        </w:p>
        <w:p>
          <w:pPr>
            <w:pStyle w:val="15"/>
            <w:tabs>
              <w:tab w:val="right" w:leader="dot" w:pos="8845"/>
            </w:tabs>
            <w:spacing w:line="360" w:lineRule="auto"/>
            <w:rPr>
              <w:b/>
            </w:rPr>
          </w:pPr>
          <w:r>
            <w:rPr>
              <w:b/>
            </w:rPr>
            <w:fldChar w:fldCharType="begin"/>
          </w:r>
          <w:r>
            <w:rPr>
              <w:b/>
            </w:rPr>
            <w:instrText xml:space="preserve"> HYPERLINK \l _Toc10786 </w:instrText>
          </w:r>
          <w:r>
            <w:rPr>
              <w:b/>
            </w:rPr>
            <w:fldChar w:fldCharType="separate"/>
          </w:r>
          <w:r>
            <w:rPr>
              <w:rFonts w:hint="eastAsia" w:ascii="黑体" w:hAnsi="黑体" w:eastAsia="黑体" w:cs="黑体"/>
              <w:b/>
              <w:szCs w:val="32"/>
              <w:lang w:val="en-US" w:eastAsia="zh-CN"/>
            </w:rPr>
            <w:t>五、一般公共预算当年拨款情况说明</w:t>
          </w:r>
          <w:r>
            <w:rPr>
              <w:b/>
            </w:rPr>
            <w:tab/>
          </w:r>
          <w:r>
            <w:rPr>
              <w:b/>
            </w:rPr>
            <w:fldChar w:fldCharType="begin"/>
          </w:r>
          <w:r>
            <w:rPr>
              <w:b/>
            </w:rPr>
            <w:instrText xml:space="preserve"> PAGEREF _Toc10786 \h </w:instrText>
          </w:r>
          <w:r>
            <w:rPr>
              <w:b/>
            </w:rPr>
            <w:fldChar w:fldCharType="separate"/>
          </w:r>
          <w:r>
            <w:rPr>
              <w:b/>
            </w:rPr>
            <w:t>6</w:t>
          </w:r>
          <w:r>
            <w:rPr>
              <w:b/>
            </w:rPr>
            <w:fldChar w:fldCharType="end"/>
          </w:r>
          <w:r>
            <w:rPr>
              <w:b/>
            </w:rPr>
            <w:fldChar w:fldCharType="end"/>
          </w:r>
        </w:p>
        <w:p>
          <w:pPr>
            <w:pStyle w:val="16"/>
            <w:tabs>
              <w:tab w:val="right" w:leader="dot" w:pos="8845"/>
            </w:tabs>
            <w:spacing w:line="360" w:lineRule="auto"/>
          </w:pPr>
          <w:r>
            <w:fldChar w:fldCharType="begin"/>
          </w:r>
          <w:r>
            <w:instrText xml:space="preserve"> HYPERLINK \l _Toc28324 </w:instrText>
          </w:r>
          <w: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_Toc28324 \h </w:instrText>
          </w:r>
          <w:r>
            <w:fldChar w:fldCharType="separate"/>
          </w:r>
          <w:r>
            <w:t>6</w:t>
          </w:r>
          <w:r>
            <w:fldChar w:fldCharType="end"/>
          </w:r>
          <w:r>
            <w:fldChar w:fldCharType="end"/>
          </w:r>
        </w:p>
        <w:p>
          <w:pPr>
            <w:pStyle w:val="16"/>
            <w:tabs>
              <w:tab w:val="right" w:leader="dot" w:pos="8845"/>
            </w:tabs>
            <w:spacing w:line="360" w:lineRule="auto"/>
          </w:pPr>
          <w:r>
            <w:fldChar w:fldCharType="begin"/>
          </w:r>
          <w:r>
            <w:instrText xml:space="preserve"> HYPERLINK \l _Toc3155 </w:instrText>
          </w:r>
          <w: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_Toc3155 \h </w:instrText>
          </w:r>
          <w:r>
            <w:fldChar w:fldCharType="separate"/>
          </w:r>
          <w:r>
            <w:t>7</w:t>
          </w:r>
          <w:r>
            <w:fldChar w:fldCharType="end"/>
          </w:r>
          <w:r>
            <w:fldChar w:fldCharType="end"/>
          </w:r>
        </w:p>
        <w:p>
          <w:pPr>
            <w:pStyle w:val="16"/>
            <w:tabs>
              <w:tab w:val="right" w:leader="dot" w:pos="8845"/>
            </w:tabs>
            <w:spacing w:line="360" w:lineRule="auto"/>
          </w:pPr>
          <w:r>
            <w:fldChar w:fldCharType="begin"/>
          </w:r>
          <w:r>
            <w:instrText xml:space="preserve"> HYPERLINK \l _Toc6804 </w:instrText>
          </w:r>
          <w: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_Toc6804 \h </w:instrText>
          </w:r>
          <w:r>
            <w:fldChar w:fldCharType="separate"/>
          </w:r>
          <w:r>
            <w:t>7</w:t>
          </w:r>
          <w:r>
            <w:fldChar w:fldCharType="end"/>
          </w:r>
          <w:r>
            <w:fldChar w:fldCharType="end"/>
          </w:r>
        </w:p>
        <w:p>
          <w:pPr>
            <w:pStyle w:val="15"/>
            <w:tabs>
              <w:tab w:val="right" w:leader="dot" w:pos="8845"/>
            </w:tabs>
            <w:spacing w:line="360" w:lineRule="auto"/>
            <w:rPr>
              <w:b/>
            </w:rPr>
          </w:pPr>
          <w:r>
            <w:rPr>
              <w:b/>
            </w:rPr>
            <w:fldChar w:fldCharType="begin"/>
          </w:r>
          <w:r>
            <w:rPr>
              <w:b/>
            </w:rPr>
            <w:instrText xml:space="preserve"> HYPERLINK \l _Toc32531 </w:instrText>
          </w:r>
          <w:r>
            <w:rPr>
              <w:b/>
            </w:rPr>
            <w:fldChar w:fldCharType="separate"/>
          </w:r>
          <w:r>
            <w:rPr>
              <w:rFonts w:hint="eastAsia" w:ascii="黑体" w:hAnsi="黑体" w:eastAsia="黑体" w:cs="黑体"/>
              <w:b/>
              <w:szCs w:val="32"/>
              <w:lang w:val="en-US" w:eastAsia="zh-CN"/>
            </w:rPr>
            <w:t>六、一般公共预算基本支出情况说明</w:t>
          </w:r>
          <w:r>
            <w:rPr>
              <w:b/>
            </w:rPr>
            <w:tab/>
          </w:r>
          <w:r>
            <w:rPr>
              <w:b/>
            </w:rPr>
            <w:fldChar w:fldCharType="begin"/>
          </w:r>
          <w:r>
            <w:rPr>
              <w:b/>
            </w:rPr>
            <w:instrText xml:space="preserve"> PAGEREF _Toc32531 \h </w:instrText>
          </w:r>
          <w:r>
            <w:rPr>
              <w:b/>
            </w:rPr>
            <w:fldChar w:fldCharType="separate"/>
          </w:r>
          <w:r>
            <w:rPr>
              <w:b/>
            </w:rPr>
            <w:t>8</w:t>
          </w:r>
          <w:r>
            <w:rPr>
              <w:b/>
            </w:rPr>
            <w:fldChar w:fldCharType="end"/>
          </w:r>
          <w:r>
            <w:rPr>
              <w:b/>
            </w:rPr>
            <w:fldChar w:fldCharType="end"/>
          </w:r>
        </w:p>
        <w:p>
          <w:pPr>
            <w:pStyle w:val="15"/>
            <w:tabs>
              <w:tab w:val="right" w:leader="dot" w:pos="8845"/>
            </w:tabs>
            <w:spacing w:line="360" w:lineRule="auto"/>
            <w:rPr>
              <w:b/>
            </w:rPr>
          </w:pPr>
          <w:r>
            <w:rPr>
              <w:b/>
            </w:rPr>
            <w:fldChar w:fldCharType="begin"/>
          </w:r>
          <w:r>
            <w:rPr>
              <w:b/>
            </w:rPr>
            <w:instrText xml:space="preserve"> HYPERLINK \l _Toc5186 </w:instrText>
          </w:r>
          <w:r>
            <w:rPr>
              <w:b/>
            </w:rPr>
            <w:fldChar w:fldCharType="separate"/>
          </w:r>
          <w:r>
            <w:rPr>
              <w:rFonts w:hint="eastAsia" w:ascii="黑体" w:hAnsi="黑体" w:eastAsia="黑体" w:cs="黑体"/>
              <w:b/>
              <w:szCs w:val="32"/>
              <w:lang w:val="en-US" w:eastAsia="zh-CN"/>
            </w:rPr>
            <w:t>七、“三公”经费财政拨款预算安排情况说明</w:t>
          </w:r>
          <w:r>
            <w:rPr>
              <w:b/>
            </w:rPr>
            <w:tab/>
          </w:r>
          <w:r>
            <w:rPr>
              <w:b/>
            </w:rPr>
            <w:fldChar w:fldCharType="begin"/>
          </w:r>
          <w:r>
            <w:rPr>
              <w:b/>
            </w:rPr>
            <w:instrText xml:space="preserve"> PAGEREF _Toc5186 \h </w:instrText>
          </w:r>
          <w:r>
            <w:rPr>
              <w:b/>
            </w:rPr>
            <w:fldChar w:fldCharType="separate"/>
          </w:r>
          <w:r>
            <w:rPr>
              <w:b/>
            </w:rPr>
            <w:t>8</w:t>
          </w:r>
          <w:r>
            <w:rPr>
              <w:b/>
            </w:rPr>
            <w:fldChar w:fldCharType="end"/>
          </w:r>
          <w:r>
            <w:rPr>
              <w:b/>
            </w:rPr>
            <w:fldChar w:fldCharType="end"/>
          </w:r>
        </w:p>
        <w:p>
          <w:pPr>
            <w:pStyle w:val="16"/>
            <w:tabs>
              <w:tab w:val="right" w:leader="dot" w:pos="8845"/>
            </w:tabs>
            <w:spacing w:line="360" w:lineRule="auto"/>
          </w:pPr>
          <w:r>
            <w:fldChar w:fldCharType="begin"/>
          </w:r>
          <w:r>
            <w:instrText xml:space="preserve"> HYPERLINK \l _Toc31585 </w:instrText>
          </w:r>
          <w:r>
            <w:fldChar w:fldCharType="separate"/>
          </w:r>
          <w:r>
            <w:rPr>
              <w:rFonts w:hint="eastAsia" w:ascii="楷体_GB2312" w:hAnsi="楷体_GB2312" w:eastAsia="楷体_GB2312" w:cs="楷体_GB2312"/>
              <w:szCs w:val="32"/>
              <w:lang w:val="en-US" w:eastAsia="zh-CN"/>
            </w:rPr>
            <w:t>（一）公务接待费</w:t>
          </w:r>
          <w:r>
            <w:tab/>
          </w:r>
          <w:r>
            <w:fldChar w:fldCharType="begin"/>
          </w:r>
          <w:r>
            <w:instrText xml:space="preserve"> PAGEREF _Toc31585 \h </w:instrText>
          </w:r>
          <w:r>
            <w:fldChar w:fldCharType="separate"/>
          </w:r>
          <w:r>
            <w:t>8</w:t>
          </w:r>
          <w:r>
            <w:fldChar w:fldCharType="end"/>
          </w:r>
          <w:r>
            <w:fldChar w:fldCharType="end"/>
          </w:r>
        </w:p>
        <w:p>
          <w:pPr>
            <w:pStyle w:val="16"/>
            <w:tabs>
              <w:tab w:val="right" w:leader="dot" w:pos="8845"/>
            </w:tabs>
            <w:spacing w:line="360" w:lineRule="auto"/>
          </w:pPr>
          <w:r>
            <w:fldChar w:fldCharType="begin"/>
          </w:r>
          <w:r>
            <w:instrText xml:space="preserve"> HYPERLINK \l _Toc17902 </w:instrText>
          </w:r>
          <w:r>
            <w:fldChar w:fldCharType="separate"/>
          </w:r>
          <w:r>
            <w:rPr>
              <w:rFonts w:hint="eastAsia" w:ascii="楷体_GB2312" w:hAnsi="楷体_GB2312" w:eastAsia="楷体_GB2312" w:cs="楷体_GB2312"/>
              <w:szCs w:val="32"/>
              <w:lang w:val="en-US" w:eastAsia="zh-CN"/>
            </w:rPr>
            <w:t>（二） 公务用车购置及运行维护费</w:t>
          </w:r>
          <w:r>
            <w:tab/>
          </w:r>
          <w:r>
            <w:fldChar w:fldCharType="begin"/>
          </w:r>
          <w:r>
            <w:instrText xml:space="preserve"> PAGEREF _Toc17902 \h </w:instrText>
          </w:r>
          <w:r>
            <w:fldChar w:fldCharType="separate"/>
          </w:r>
          <w:r>
            <w:t>9</w:t>
          </w:r>
          <w:r>
            <w:fldChar w:fldCharType="end"/>
          </w:r>
          <w:r>
            <w:fldChar w:fldCharType="end"/>
          </w:r>
        </w:p>
        <w:p>
          <w:pPr>
            <w:pStyle w:val="16"/>
            <w:tabs>
              <w:tab w:val="right" w:leader="dot" w:pos="8845"/>
            </w:tabs>
            <w:spacing w:line="360" w:lineRule="auto"/>
          </w:pPr>
          <w:r>
            <w:fldChar w:fldCharType="begin"/>
          </w:r>
          <w:r>
            <w:instrText xml:space="preserve"> HYPERLINK \l _Toc19126 </w:instrText>
          </w:r>
          <w:r>
            <w:fldChar w:fldCharType="separate"/>
          </w:r>
          <w:r>
            <w:rPr>
              <w:rFonts w:hint="eastAsia" w:ascii="仿宋_GB2312" w:hAnsi="仿宋_GB2312" w:eastAsia="仿宋_GB2312" w:cs="仿宋_GB2312"/>
              <w:szCs w:val="32"/>
              <w:lang w:val="en-US" w:eastAsia="zh-CN"/>
            </w:rPr>
            <w:t>（</w:t>
          </w:r>
          <w:r>
            <w:rPr>
              <w:rFonts w:hint="eastAsia" w:ascii="楷体_GB2312" w:hAnsi="楷体_GB2312" w:eastAsia="楷体_GB2312" w:cs="楷体_GB2312"/>
              <w:szCs w:val="32"/>
              <w:lang w:val="en-US" w:eastAsia="zh-CN"/>
            </w:rPr>
            <w:t>三）因公出国（境）经费</w:t>
          </w:r>
          <w:r>
            <w:tab/>
          </w:r>
          <w:r>
            <w:fldChar w:fldCharType="begin"/>
          </w:r>
          <w:r>
            <w:instrText xml:space="preserve"> PAGEREF _Toc19126 \h </w:instrText>
          </w:r>
          <w:r>
            <w:fldChar w:fldCharType="separate"/>
          </w:r>
          <w:r>
            <w:t>9</w:t>
          </w:r>
          <w:r>
            <w:fldChar w:fldCharType="end"/>
          </w:r>
          <w:r>
            <w:fldChar w:fldCharType="end"/>
          </w:r>
        </w:p>
        <w:p>
          <w:pPr>
            <w:pStyle w:val="15"/>
            <w:tabs>
              <w:tab w:val="right" w:leader="dot" w:pos="8845"/>
            </w:tabs>
            <w:spacing w:line="360" w:lineRule="auto"/>
            <w:rPr>
              <w:b/>
            </w:rPr>
          </w:pPr>
          <w:r>
            <w:rPr>
              <w:b/>
            </w:rPr>
            <w:fldChar w:fldCharType="begin"/>
          </w:r>
          <w:r>
            <w:rPr>
              <w:b/>
            </w:rPr>
            <w:instrText xml:space="preserve"> HYPERLINK \l _Toc8836 </w:instrText>
          </w:r>
          <w:r>
            <w:rPr>
              <w:b/>
            </w:rPr>
            <w:fldChar w:fldCharType="separate"/>
          </w:r>
          <w:r>
            <w:rPr>
              <w:rFonts w:hint="eastAsia" w:ascii="黑体" w:hAnsi="黑体" w:eastAsia="黑体" w:cs="黑体"/>
              <w:b/>
              <w:szCs w:val="32"/>
              <w:lang w:val="en-US" w:eastAsia="zh-CN"/>
            </w:rPr>
            <w:t>八、政府性基金预算支出情况说明</w:t>
          </w:r>
          <w:r>
            <w:rPr>
              <w:b/>
            </w:rPr>
            <w:tab/>
          </w:r>
          <w:r>
            <w:rPr>
              <w:b/>
            </w:rPr>
            <w:fldChar w:fldCharType="begin"/>
          </w:r>
          <w:r>
            <w:rPr>
              <w:b/>
            </w:rPr>
            <w:instrText xml:space="preserve"> PAGEREF _Toc8836 \h </w:instrText>
          </w:r>
          <w:r>
            <w:rPr>
              <w:b/>
            </w:rPr>
            <w:fldChar w:fldCharType="separate"/>
          </w:r>
          <w:r>
            <w:rPr>
              <w:b/>
            </w:rPr>
            <w:t>9</w:t>
          </w:r>
          <w:r>
            <w:rPr>
              <w:b/>
            </w:rPr>
            <w:fldChar w:fldCharType="end"/>
          </w:r>
          <w:r>
            <w:rPr>
              <w:b/>
            </w:rPr>
            <w:fldChar w:fldCharType="end"/>
          </w:r>
        </w:p>
        <w:p>
          <w:pPr>
            <w:pStyle w:val="15"/>
            <w:tabs>
              <w:tab w:val="right" w:leader="dot" w:pos="8845"/>
            </w:tabs>
            <w:spacing w:line="360" w:lineRule="auto"/>
            <w:rPr>
              <w:b/>
            </w:rPr>
          </w:pPr>
          <w:r>
            <w:rPr>
              <w:b/>
            </w:rPr>
            <w:fldChar w:fldCharType="begin"/>
          </w:r>
          <w:r>
            <w:rPr>
              <w:b/>
            </w:rPr>
            <w:instrText xml:space="preserve"> HYPERLINK \l _Toc28250 </w:instrText>
          </w:r>
          <w:r>
            <w:rPr>
              <w:b/>
            </w:rPr>
            <w:fldChar w:fldCharType="separate"/>
          </w:r>
          <w:r>
            <w:rPr>
              <w:rFonts w:hint="eastAsia" w:ascii="黑体" w:hAnsi="黑体" w:eastAsia="黑体" w:cs="黑体"/>
              <w:b/>
              <w:szCs w:val="32"/>
              <w:lang w:val="en-US" w:eastAsia="zh-CN"/>
            </w:rPr>
            <w:t>九、国有资本经营预算支出情况说明</w:t>
          </w:r>
          <w:r>
            <w:rPr>
              <w:b/>
            </w:rPr>
            <w:tab/>
          </w:r>
          <w:r>
            <w:rPr>
              <w:b/>
            </w:rPr>
            <w:fldChar w:fldCharType="begin"/>
          </w:r>
          <w:r>
            <w:rPr>
              <w:b/>
            </w:rPr>
            <w:instrText xml:space="preserve"> PAGEREF _Toc28250 \h </w:instrText>
          </w:r>
          <w:r>
            <w:rPr>
              <w:b/>
            </w:rPr>
            <w:fldChar w:fldCharType="separate"/>
          </w:r>
          <w:r>
            <w:rPr>
              <w:b/>
            </w:rPr>
            <w:t>9</w:t>
          </w:r>
          <w:r>
            <w:rPr>
              <w:b/>
            </w:rPr>
            <w:fldChar w:fldCharType="end"/>
          </w:r>
          <w:r>
            <w:rPr>
              <w:b/>
            </w:rPr>
            <w:fldChar w:fldCharType="end"/>
          </w:r>
        </w:p>
        <w:p>
          <w:pPr>
            <w:pStyle w:val="15"/>
            <w:tabs>
              <w:tab w:val="right" w:leader="dot" w:pos="8845"/>
            </w:tabs>
            <w:spacing w:line="360" w:lineRule="auto"/>
            <w:rPr>
              <w:b/>
            </w:rPr>
          </w:pPr>
          <w:r>
            <w:rPr>
              <w:b/>
            </w:rPr>
            <w:fldChar w:fldCharType="begin"/>
          </w:r>
          <w:r>
            <w:rPr>
              <w:b/>
            </w:rPr>
            <w:instrText xml:space="preserve"> HYPERLINK \l _Toc16393 </w:instrText>
          </w:r>
          <w:r>
            <w:rPr>
              <w:b/>
            </w:rPr>
            <w:fldChar w:fldCharType="separate"/>
          </w:r>
          <w:r>
            <w:rPr>
              <w:rFonts w:hint="eastAsia" w:ascii="黑体" w:hAnsi="黑体" w:eastAsia="黑体" w:cs="黑体"/>
              <w:b/>
              <w:szCs w:val="32"/>
              <w:lang w:val="en-US" w:eastAsia="zh-CN"/>
            </w:rPr>
            <w:t>十、其他重要事项的情况说明</w:t>
          </w:r>
          <w:r>
            <w:rPr>
              <w:b/>
            </w:rPr>
            <w:tab/>
          </w:r>
          <w:r>
            <w:rPr>
              <w:b/>
            </w:rPr>
            <w:fldChar w:fldCharType="begin"/>
          </w:r>
          <w:r>
            <w:rPr>
              <w:b/>
            </w:rPr>
            <w:instrText xml:space="preserve"> PAGEREF _Toc16393 \h </w:instrText>
          </w:r>
          <w:r>
            <w:rPr>
              <w:b/>
            </w:rPr>
            <w:fldChar w:fldCharType="separate"/>
          </w:r>
          <w:r>
            <w:rPr>
              <w:b/>
            </w:rPr>
            <w:t>9</w:t>
          </w:r>
          <w:r>
            <w:rPr>
              <w:b/>
            </w:rPr>
            <w:fldChar w:fldCharType="end"/>
          </w:r>
          <w:r>
            <w:rPr>
              <w:b/>
            </w:rPr>
            <w:fldChar w:fldCharType="end"/>
          </w:r>
        </w:p>
        <w:p>
          <w:pPr>
            <w:pStyle w:val="16"/>
            <w:tabs>
              <w:tab w:val="right" w:leader="dot" w:pos="8845"/>
            </w:tabs>
            <w:spacing w:line="360" w:lineRule="auto"/>
          </w:pPr>
          <w:r>
            <w:fldChar w:fldCharType="begin"/>
          </w:r>
          <w:r>
            <w:instrText xml:space="preserve"> HYPERLINK \l _Toc24211 </w:instrText>
          </w:r>
          <w: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_Toc24211 \h </w:instrText>
          </w:r>
          <w:r>
            <w:fldChar w:fldCharType="separate"/>
          </w:r>
          <w:r>
            <w:t>9</w:t>
          </w:r>
          <w:r>
            <w:fldChar w:fldCharType="end"/>
          </w:r>
          <w:r>
            <w:fldChar w:fldCharType="end"/>
          </w:r>
        </w:p>
        <w:p>
          <w:pPr>
            <w:pStyle w:val="16"/>
            <w:tabs>
              <w:tab w:val="right" w:leader="dot" w:pos="8845"/>
            </w:tabs>
            <w:spacing w:line="360" w:lineRule="auto"/>
          </w:pPr>
          <w:r>
            <w:fldChar w:fldCharType="begin"/>
          </w:r>
          <w:r>
            <w:instrText xml:space="preserve"> HYPERLINK \l _Toc28320 </w:instrText>
          </w:r>
          <w:r>
            <w:fldChar w:fldCharType="separate"/>
          </w:r>
          <w:r>
            <w:rPr>
              <w:rFonts w:hint="eastAsia" w:ascii="楷体_GB2312" w:hAnsi="楷体_GB2312" w:eastAsia="楷体_GB2312" w:cs="楷体_GB2312"/>
              <w:szCs w:val="32"/>
              <w:lang w:val="en-US" w:eastAsia="zh-CN"/>
            </w:rPr>
            <w:t>（二）政府采购情况</w:t>
          </w:r>
          <w:r>
            <w:tab/>
          </w:r>
          <w:r>
            <w:fldChar w:fldCharType="begin"/>
          </w:r>
          <w:r>
            <w:instrText xml:space="preserve"> PAGEREF _Toc28320 \h </w:instrText>
          </w:r>
          <w:r>
            <w:fldChar w:fldCharType="separate"/>
          </w:r>
          <w:r>
            <w:t>10</w:t>
          </w:r>
          <w:r>
            <w:fldChar w:fldCharType="end"/>
          </w:r>
          <w:r>
            <w:fldChar w:fldCharType="end"/>
          </w:r>
        </w:p>
        <w:p>
          <w:pPr>
            <w:pStyle w:val="16"/>
            <w:tabs>
              <w:tab w:val="right" w:leader="dot" w:pos="8845"/>
            </w:tabs>
            <w:spacing w:line="360" w:lineRule="auto"/>
          </w:pPr>
          <w:r>
            <w:fldChar w:fldCharType="begin"/>
          </w:r>
          <w:r>
            <w:instrText xml:space="preserve"> HYPERLINK \l _Toc18472 </w:instrText>
          </w:r>
          <w:r>
            <w:fldChar w:fldCharType="separate"/>
          </w:r>
          <w:r>
            <w:rPr>
              <w:rFonts w:hint="eastAsia" w:ascii="楷体_GB2312" w:hAnsi="楷体_GB2312" w:eastAsia="楷体_GB2312" w:cs="楷体_GB2312"/>
              <w:szCs w:val="32"/>
              <w:lang w:val="en-US" w:eastAsia="zh-CN"/>
            </w:rPr>
            <w:t>（三）国有资产占有使用情况</w:t>
          </w:r>
          <w:r>
            <w:tab/>
          </w:r>
          <w:r>
            <w:fldChar w:fldCharType="begin"/>
          </w:r>
          <w:r>
            <w:instrText xml:space="preserve"> PAGEREF _Toc18472 \h </w:instrText>
          </w:r>
          <w:r>
            <w:fldChar w:fldCharType="separate"/>
          </w:r>
          <w:r>
            <w:t>10</w:t>
          </w:r>
          <w:r>
            <w:fldChar w:fldCharType="end"/>
          </w:r>
          <w:r>
            <w:fldChar w:fldCharType="end"/>
          </w:r>
        </w:p>
        <w:p>
          <w:pPr>
            <w:pStyle w:val="16"/>
            <w:tabs>
              <w:tab w:val="right" w:leader="dot" w:pos="8845"/>
            </w:tabs>
            <w:spacing w:line="360" w:lineRule="auto"/>
          </w:pPr>
          <w:r>
            <w:fldChar w:fldCharType="begin"/>
          </w:r>
          <w:r>
            <w:instrText xml:space="preserve"> HYPERLINK \l _Toc30840 </w:instrText>
          </w:r>
          <w:r>
            <w:fldChar w:fldCharType="separate"/>
          </w:r>
          <w:r>
            <w:rPr>
              <w:rFonts w:hint="eastAsia" w:ascii="楷体_GB2312" w:hAnsi="楷体_GB2312" w:eastAsia="楷体_GB2312" w:cs="楷体_GB2312"/>
              <w:szCs w:val="32"/>
              <w:lang w:val="en-US" w:eastAsia="zh-CN"/>
            </w:rPr>
            <w:t>（四）绩效目标设置情况</w:t>
          </w:r>
          <w:r>
            <w:tab/>
          </w:r>
          <w:r>
            <w:fldChar w:fldCharType="begin"/>
          </w:r>
          <w:r>
            <w:instrText xml:space="preserve"> PAGEREF _Toc30840 \h </w:instrText>
          </w:r>
          <w:r>
            <w:fldChar w:fldCharType="separate"/>
          </w:r>
          <w:r>
            <w:t>10</w:t>
          </w:r>
          <w:r>
            <w:fldChar w:fldCharType="end"/>
          </w:r>
          <w:r>
            <w:fldChar w:fldCharType="end"/>
          </w:r>
        </w:p>
        <w:p>
          <w:pPr>
            <w:pStyle w:val="15"/>
            <w:tabs>
              <w:tab w:val="right" w:leader="dot" w:pos="8845"/>
            </w:tabs>
            <w:spacing w:line="360" w:lineRule="auto"/>
            <w:rPr>
              <w:b/>
            </w:rPr>
          </w:pPr>
          <w:r>
            <w:rPr>
              <w:b/>
            </w:rPr>
            <w:fldChar w:fldCharType="begin"/>
          </w:r>
          <w:r>
            <w:rPr>
              <w:b/>
            </w:rPr>
            <w:instrText xml:space="preserve"> HYPERLINK \l _Toc25347 </w:instrText>
          </w:r>
          <w:r>
            <w:rPr>
              <w:b/>
            </w:rPr>
            <w:fldChar w:fldCharType="separate"/>
          </w:r>
          <w:r>
            <w:rPr>
              <w:rFonts w:hint="eastAsia" w:ascii="黑体" w:hAnsi="黑体" w:eastAsia="黑体" w:cs="黑体"/>
              <w:b/>
              <w:szCs w:val="32"/>
              <w:lang w:val="en-US" w:eastAsia="zh-CN"/>
            </w:rPr>
            <w:t>十一、名词解释</w:t>
          </w:r>
          <w:r>
            <w:rPr>
              <w:b/>
            </w:rPr>
            <w:tab/>
          </w:r>
          <w:r>
            <w:rPr>
              <w:b/>
            </w:rPr>
            <w:fldChar w:fldCharType="begin"/>
          </w:r>
          <w:r>
            <w:rPr>
              <w:b/>
            </w:rPr>
            <w:instrText xml:space="preserve"> PAGEREF _Toc25347 \h </w:instrText>
          </w:r>
          <w:r>
            <w:rPr>
              <w:b/>
            </w:rPr>
            <w:fldChar w:fldCharType="separate"/>
          </w:r>
          <w:r>
            <w:rPr>
              <w:b/>
            </w:rPr>
            <w:t>10</w:t>
          </w:r>
          <w:r>
            <w:rPr>
              <w:b/>
            </w:rPr>
            <w:fldChar w:fldCharType="end"/>
          </w:r>
          <w:r>
            <w:rPr>
              <w:b/>
            </w:rPr>
            <w:fldChar w:fldCharType="end"/>
          </w:r>
        </w:p>
        <w:p>
          <w:pPr>
            <w:pStyle w:val="2"/>
            <w:spacing w:line="360" w:lineRule="auto"/>
            <w:ind w:left="0" w:leftChars="0" w:firstLine="0" w:firstLineChars="0"/>
            <w:sectPr>
              <w:pgSz w:w="11906" w:h="16838"/>
              <w:pgMar w:top="2098" w:right="1474" w:bottom="1984" w:left="1587" w:header="720" w:footer="1559" w:gutter="0"/>
              <w:pgNumType w:fmt="decimal"/>
              <w:cols w:space="720" w:num="1"/>
              <w:docGrid w:type="lines" w:linePitch="312" w:charSpace="0"/>
            </w:sectPr>
          </w:pPr>
          <w:r>
            <w:rPr>
              <w:b/>
            </w:rPr>
            <w:fldChar w:fldCharType="end"/>
          </w:r>
        </w:p>
      </w:sdtContent>
    </w:sdt>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0" w:name="_Toc3469"/>
      <w:bookmarkStart w:id="1" w:name="_Toc7405"/>
      <w:r>
        <w:rPr>
          <w:rFonts w:hint="eastAsia" w:ascii="黑体" w:hAnsi="黑体" w:eastAsia="黑体" w:cs="黑体"/>
          <w:sz w:val="32"/>
          <w:szCs w:val="32"/>
          <w:lang w:val="en-US" w:eastAsia="zh-CN"/>
        </w:rPr>
        <w:t>一、基本职能及主要工作</w:t>
      </w:r>
      <w:bookmarkEnd w:id="0"/>
      <w:bookmarkEnd w:id="1"/>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 w:name="_Toc12136"/>
      <w:bookmarkStart w:id="3" w:name="_Toc2185"/>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苍溪县人民检察院</w:t>
      </w:r>
      <w:r>
        <w:rPr>
          <w:rFonts w:hint="eastAsia" w:ascii="楷体_GB2312" w:hAnsi="楷体_GB2312" w:eastAsia="楷体_GB2312" w:cs="楷体_GB2312"/>
          <w:sz w:val="32"/>
          <w:szCs w:val="32"/>
        </w:rPr>
        <w:t>职能简介</w:t>
      </w:r>
      <w:bookmarkEnd w:id="2"/>
      <w:bookmarkEnd w:id="3"/>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对于叛国案、分裂国家案以及严重破坏国家政策、法律、政令统一实施的重大犯罪案件，行使检察权。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对于直接受理的国家工作人员利用职权实施的犯罪案件，进行侦查。</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对于公安机关侦查机关侦查的案件进行审查，决定是否逮捕、起诉或不起诉，并对侦查机关的立案、侦查活动是否合法实行监督。</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对于刑事案件提起公诉，支持公诉；对于人民法院的刑事判决、裁定是否正确以及审判活动是否合法实行监督。</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对于监狱、看守所等执行机关执行刑罚的活动是否合法实行监督。</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对于人民法院的民事审判活动实行法律监督，对人民法院已经发生法律效力的判决、裁定，发现违反法律、法规规定的，依法提出抗诉。</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对于行政诉讼实行法律监督，对人民法院已经发生效力的判决、裁定发现违反法律、法规规定的，依法提出抗诉。</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负责应由苍溪县人民检察院承办的（提起）公益诉讼工作。</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4" w:name="_Toc16014"/>
      <w:bookmarkStart w:id="5" w:name="_Toc23155"/>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苍溪县人民检察院</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4"/>
      <w:bookmarkEnd w:id="5"/>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践行习近平法治思想，认真落实党中央和省委、市委、县委决策部署，围绕县委“543”发展战略，切实扛牢责任担当，全面深化法律监督，自觉融入发展大局，以高质效检察履职促进检察工作现代化，以检察力量为全面建设社会主义现代化苍溪作出新的更大贡献。</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能动履职，围绕中心服务大局。旗帜鲜明讲政治，立足县域实际准确把握服务大局、保障发展的结合点和着力点，推动苍溪经济社会高质量发展。结合推进新型工业化建设，着力营造更加优质高效的法治化营商环境，深入落实各项服务民营经济检察举措。结合平安苍溪建设，依法打击危害安全稳定违法犯罪，助力守牢安全发展底线。结合基层治理，注重剖析案件背后主客观原因，积极为党委政府、职能部门提供决策参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强宗旨意识，始终坚持人民至上。紧紧抓住人民群众最关心、最直接、最现实的利益问题，持续做实检察为民实事，不断满足人民群众对美好生活的向往。坚持弘扬新时代“枫桥经验”，切实肩负起化解社会矛盾与纠纷的责任，让人民群众在一个个“小案”中感受检察温度。坚持加强对未成年人、老年人、残疾人等特殊群体的司法保护，充分利用四大检察职能，同步凝聚社会保护合力。坚持围绕群众“急难愁盼”问题，重点关注食药品安全、助力农民工讨薪，切实维护民生民利。</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主责主业，努力提升办案质效。把高质效办好每一个案件的基本价值追求落到实处，努力让人民群众在每一个司法案件中感受到公平正义。坚持“三态革新”，从严打击诬告陷害、网络寻衅滋事等违法犯罪行为。强化创新引领，主动适应犯罪治理新形势，探索轻微刑事案件办理机制。做好典型案例培育，树立把案件办成精品案例的意识，努力办理一批有价值、有影响力的案件。维护国家和社会公共利益，积极落实县委决策部署，加强对“苍溪雪梨”和“苍溪红心猕猴桃”等国家地理标志产品保护，助力乡村振兴。</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固本强基，着力打造检察铁军。坚持严管与厚爱相结合，“严纪律”与“抓素能”同步推进，全方位锻造堪当时代重任的高素质检察队伍。发挥“关键少数”引领作用，领导干部带头办理重大复杂案件，带头遵守党规党纪。发挥制度机制约束作用，做好做实检务督察工作，强化动真碰硬和内部监督制约。发挥培训提能作用，深入开展“全覆盖培训、全岗位练兵”，持之以恒建强队伍、提升素能、练好内功，推动检察干警干事创业、勇挑重担。</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6" w:name="_Toc2671"/>
      <w:bookmarkStart w:id="7" w:name="_Toc32735"/>
      <w:r>
        <w:rPr>
          <w:rFonts w:hint="eastAsia" w:ascii="黑体" w:hAnsi="黑体" w:eastAsia="黑体" w:cs="黑体"/>
          <w:sz w:val="32"/>
          <w:szCs w:val="32"/>
          <w:lang w:val="en-US" w:eastAsia="zh-CN"/>
        </w:rPr>
        <w:t>二、部门预算单位构成</w:t>
      </w:r>
      <w:bookmarkEnd w:id="6"/>
      <w:bookmarkEnd w:id="7"/>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苍溪县人民检察院属一级预算单位，无下属二级预算单位。</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26620"/>
      <w:bookmarkStart w:id="9" w:name="_Toc32342"/>
      <w:r>
        <w:rPr>
          <w:rFonts w:hint="eastAsia" w:ascii="黑体" w:hAnsi="黑体" w:eastAsia="黑体" w:cs="黑体"/>
          <w:sz w:val="32"/>
          <w:szCs w:val="32"/>
          <w:lang w:val="en-US" w:eastAsia="zh-CN"/>
        </w:rPr>
        <w:t>三、收支预算情况说明</w:t>
      </w:r>
      <w:bookmarkEnd w:id="8"/>
      <w:bookmarkEnd w:id="9"/>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苍溪县人民检察院所有收入和支出均纳入部门预算管理。收入包括：一般公共预算拨款收入；支出包括：公共安全支出、社会保障和就业支出、卫生健康支出、住房保障支出。苍溪县人民检察院2024年收支预算总数1301.03万元，比2023年收支预算总数增加124.05万元，主要原因是财物统管改革，上划基数暂未下完。</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26851"/>
      <w:bookmarkStart w:id="11" w:name="_Toc4477"/>
      <w:r>
        <w:rPr>
          <w:rFonts w:hint="eastAsia" w:ascii="楷体_GB2312" w:hAnsi="楷体_GB2312" w:eastAsia="楷体_GB2312" w:cs="楷体_GB2312"/>
          <w:sz w:val="32"/>
          <w:szCs w:val="32"/>
          <w:lang w:val="en-US" w:eastAsia="zh-CN"/>
        </w:rPr>
        <w:t>（一）收入预算情况</w:t>
      </w:r>
      <w:bookmarkEnd w:id="10"/>
      <w:bookmarkEnd w:id="11"/>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苍溪县人民检察院2024年收入预算1301.03万元，其中：一般公共预算拨款收入1301.03万元，占100%。</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2" w:name="_Toc16932"/>
      <w:bookmarkStart w:id="13" w:name="_Toc23588"/>
      <w:r>
        <w:rPr>
          <w:rFonts w:hint="eastAsia" w:ascii="楷体_GB2312" w:hAnsi="楷体_GB2312" w:eastAsia="楷体_GB2312" w:cs="楷体_GB2312"/>
          <w:sz w:val="32"/>
          <w:szCs w:val="32"/>
          <w:lang w:val="en-US" w:eastAsia="zh-CN"/>
        </w:rPr>
        <w:t>（二）支出预算情况</w:t>
      </w:r>
      <w:bookmarkEnd w:id="12"/>
      <w:bookmarkEnd w:id="13"/>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苍溪县人民检察院2024年支出预算1301.03万元，其中：基本支出1118.80万元，占85.99%；项目支出182.23万元，占14.01%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4" w:name="_Toc19315"/>
      <w:bookmarkStart w:id="15" w:name="_Toc15822"/>
      <w:r>
        <w:rPr>
          <w:rFonts w:hint="eastAsia" w:ascii="黑体" w:hAnsi="黑体" w:eastAsia="黑体" w:cs="黑体"/>
          <w:sz w:val="32"/>
          <w:szCs w:val="32"/>
          <w:lang w:val="en-US" w:eastAsia="zh-CN"/>
        </w:rPr>
        <w:t>四、财政拨款收支预算情况说明</w:t>
      </w:r>
      <w:bookmarkEnd w:id="14"/>
      <w:bookmarkEnd w:id="15"/>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苍溪县人民检察院2024年财政拨款收支预算总数1301.03万元，比2023年财政拨款收支预算总数增加124.05万元，主要原因是财物统管改革，上划基数暂未下完。</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收入包括：本年一般公共预算拨款收入1301.03万元；支出包括：公共安全支出1113.99万元、社会保障和就业支出81.91万元、卫生健康支出38.26万元、住房保障支出66.87万元。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6" w:name="_Toc10786"/>
      <w:bookmarkStart w:id="17" w:name="_Toc13702"/>
      <w:r>
        <w:rPr>
          <w:rFonts w:hint="eastAsia" w:ascii="黑体" w:hAnsi="黑体" w:eastAsia="黑体" w:cs="黑体"/>
          <w:sz w:val="32"/>
          <w:szCs w:val="32"/>
          <w:lang w:val="en-US" w:eastAsia="zh-CN"/>
        </w:rPr>
        <w:t>五、一般公共预算当年拨款情况说明</w:t>
      </w:r>
      <w:bookmarkEnd w:id="16"/>
      <w:bookmarkEnd w:id="17"/>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8" w:name="_Toc21945"/>
      <w:bookmarkStart w:id="19" w:name="_Toc28324"/>
      <w:r>
        <w:rPr>
          <w:rFonts w:hint="eastAsia" w:ascii="楷体_GB2312" w:hAnsi="楷体_GB2312" w:eastAsia="楷体_GB2312" w:cs="楷体_GB2312"/>
          <w:sz w:val="32"/>
          <w:szCs w:val="32"/>
          <w:lang w:val="en-US" w:eastAsia="zh-CN"/>
        </w:rPr>
        <w:t>（一）一般公共预算当年拨款规模变化情况</w:t>
      </w:r>
      <w:bookmarkEnd w:id="18"/>
      <w:bookmarkEnd w:id="19"/>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苍溪县人民检察院2024年一般公共预算当年拨款1301.03万元，比2023年预算数增加124.05万元，主要原因是财物统管改革，上划基数暂未下完。</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0" w:name="_Toc18572"/>
      <w:bookmarkStart w:id="21" w:name="_Toc3155"/>
      <w:r>
        <w:rPr>
          <w:rFonts w:hint="eastAsia" w:ascii="楷体_GB2312" w:hAnsi="楷体_GB2312" w:eastAsia="楷体_GB2312" w:cs="楷体_GB2312"/>
          <w:sz w:val="32"/>
          <w:szCs w:val="32"/>
          <w:lang w:val="en-US" w:eastAsia="zh-CN"/>
        </w:rPr>
        <w:t>（二）一般公共预算当年拨款结构情况</w:t>
      </w:r>
      <w:bookmarkEnd w:id="20"/>
      <w:bookmarkEnd w:id="21"/>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公共安全支出1113.99万元，占85.62%；社会保障和就业支出81.91万元，占6.30%；卫生健康支出38.26万元，占2.94%；住房保障支出66.87万元，占5.14%。</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6804"/>
      <w:bookmarkStart w:id="23" w:name="_Toc27070"/>
      <w:r>
        <w:rPr>
          <w:rFonts w:hint="eastAsia" w:ascii="楷体_GB2312" w:hAnsi="楷体_GB2312" w:eastAsia="楷体_GB2312" w:cs="楷体_GB2312"/>
          <w:sz w:val="32"/>
          <w:szCs w:val="32"/>
          <w:lang w:val="en-US" w:eastAsia="zh-CN"/>
        </w:rPr>
        <w:t>（三）一般公共预算当年拨款具体使用情况</w:t>
      </w:r>
      <w:bookmarkEnd w:id="22"/>
      <w:bookmarkEnd w:id="23"/>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1.公共安全（类）检察（款）行政运行（项）</w:t>
      </w:r>
      <w:r>
        <w:rPr>
          <w:rFonts w:hint="eastAsia" w:ascii="仿宋_GB2312" w:hAnsi="仿宋_GB2312" w:eastAsia="仿宋_GB2312" w:cs="仿宋_GB2312"/>
          <w:sz w:val="32"/>
          <w:szCs w:val="32"/>
          <w:lang w:val="en-US" w:eastAsia="zh-CN"/>
        </w:rPr>
        <w:t>2024年预算数为1039.11万元，主要用于：苍溪县人民检察院机关正常运转的基本支出，包括基本工资、津贴补贴等人员经费以及办公费、印刷费、水电费等日常公用经费，保障部门正常运转。</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2.公共安全（类）检察（款）检察监督（项）</w:t>
      </w:r>
      <w:r>
        <w:rPr>
          <w:rFonts w:hint="eastAsia" w:ascii="仿宋_GB2312" w:hAnsi="仿宋_GB2312" w:eastAsia="仿宋_GB2312" w:cs="仿宋_GB2312"/>
          <w:sz w:val="32"/>
          <w:szCs w:val="32"/>
          <w:lang w:val="en-US" w:eastAsia="zh-CN"/>
        </w:rPr>
        <w:t>2024年预算数为74.87万元，主要用于：检察机关依法开展法律监督工作支出。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2024年预算数为81.11万元，主要用于：实施养老保险制度由单位缴纳的基本养老保险支出。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4.社会保障和就业（类）其他社会保障和就业支出（款）其他社会保障和就业支出（项）2024年预算数为0.81万元，主要用于：工伤保险支出与工勤失业保险支出。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 卫生健康（类）行政事业单位医疗（款）行政单位医疗（项）2024年预算数为38.26万元，主要用于：机关及参公管理事业单位按规定由单位缴纳的基本医疗保险支出。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6.住房保障（类）住房改革支出（款）住房公积金（项）2024年预算数为66.88万元，主要用于：部门按规定为职工缴纳的住房公积金支出。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4" w:name="_Toc32085"/>
      <w:bookmarkStart w:id="25" w:name="_Toc32531"/>
      <w:r>
        <w:rPr>
          <w:rFonts w:hint="eastAsia" w:ascii="黑体" w:hAnsi="黑体" w:eastAsia="黑体" w:cs="黑体"/>
          <w:sz w:val="32"/>
          <w:szCs w:val="32"/>
          <w:lang w:val="en-US" w:eastAsia="zh-CN"/>
        </w:rPr>
        <w:t>六、一般公共预算基本支出情况说明</w:t>
      </w:r>
      <w:bookmarkEnd w:id="24"/>
      <w:bookmarkEnd w:id="25"/>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苍溪县人民检察院2024年一般公共预算基本支出1118.80万元，其中：</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人员经费944.34万元，主要包括：基本工资、津贴补贴、奖金、机关事业单位基本养老保险缴费、职工基本医疗保险缴费、其他社会保障缴费、住房公积金、 其他工资福利支出、生活补助等支出。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公用经费174.46万元，主要包括：办公费、水费、电费、邮电费、物业管理费、差旅费、租赁费、培训费、公务接待费、被装购置费、劳务费、委托业务费、工会经费、福利费、公务用车运行维护费、其他交通费用、其他商品和服务支出等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6" w:name="_Toc28790"/>
      <w:bookmarkStart w:id="27" w:name="_Toc5186"/>
      <w:r>
        <w:rPr>
          <w:rFonts w:hint="eastAsia" w:ascii="黑体" w:hAnsi="黑体" w:eastAsia="黑体" w:cs="黑体"/>
          <w:sz w:val="32"/>
          <w:szCs w:val="32"/>
          <w:lang w:val="en-US" w:eastAsia="zh-CN"/>
        </w:rPr>
        <w:t>七、“三公”经费财政拨款预算安排情况说明</w:t>
      </w:r>
      <w:bookmarkEnd w:id="26"/>
      <w:bookmarkEnd w:id="27"/>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苍溪县人民检察院单位2024年“三公”经费财政拨款预算数14万元，其中：公务接待费4万元，公务用车购置及运行维护费10万元，因公出国（境）经费0万元。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8" w:name="_Toc31585"/>
      <w:bookmarkStart w:id="29" w:name="_Toc4883"/>
      <w:r>
        <w:rPr>
          <w:rFonts w:hint="eastAsia" w:ascii="楷体_GB2312" w:hAnsi="楷体_GB2312" w:eastAsia="楷体_GB2312" w:cs="楷体_GB2312"/>
          <w:sz w:val="32"/>
          <w:szCs w:val="32"/>
          <w:lang w:val="en-US" w:eastAsia="zh-CN"/>
        </w:rPr>
        <w:t>（一）公务接待费</w:t>
      </w:r>
      <w:bookmarkEnd w:id="28"/>
      <w:bookmarkEnd w:id="29"/>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30" w:name="_Toc17902"/>
      <w:bookmarkStart w:id="31" w:name="_Toc26159"/>
      <w:r>
        <w:rPr>
          <w:rFonts w:hint="eastAsia" w:ascii="楷体_GB2312" w:hAnsi="楷体_GB2312" w:eastAsia="楷体_GB2312" w:cs="楷体_GB2312"/>
          <w:sz w:val="32"/>
          <w:szCs w:val="32"/>
          <w:lang w:val="en-US" w:eastAsia="zh-CN"/>
        </w:rPr>
        <w:t>公务用车购置及运行维护费</w:t>
      </w:r>
      <w:bookmarkEnd w:id="30"/>
      <w:bookmarkEnd w:id="31"/>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单位现有公务用车8辆，其中：轿车2辆，旅行车（含商务车）0辆，越野车6辆。</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2024年暂未安排公务用车购置费。</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2024年安排公务用车运行维护费10万元，用于8辆公务用车燃油、过路（桥）、维修、保险等方面支出，主要保障案件管理、侦查监督、公诉、监所、民行检察等办案工作开展。</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32" w:name="_Toc28467"/>
      <w:bookmarkStart w:id="33" w:name="_Toc19126"/>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32"/>
      <w:bookmarkEnd w:id="33"/>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因公出国（境）经费与2023年预算相比持平，未安排出国（境）任务和计划。</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34" w:name="_Toc29586"/>
      <w:bookmarkStart w:id="35" w:name="_Toc8836"/>
      <w:r>
        <w:rPr>
          <w:rFonts w:hint="eastAsia" w:ascii="黑体" w:hAnsi="黑体" w:eastAsia="黑体" w:cs="黑体"/>
          <w:sz w:val="32"/>
          <w:szCs w:val="32"/>
          <w:lang w:val="en-US" w:eastAsia="zh-CN"/>
        </w:rPr>
        <w:t>八、政府性基金预算支出情况说明</w:t>
      </w:r>
      <w:bookmarkEnd w:id="34"/>
      <w:bookmarkEnd w:id="35"/>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苍溪县人民检察院2024年无政府性基金预算拨款安排的支出。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36" w:name="_Toc21731"/>
      <w:bookmarkStart w:id="37" w:name="_Toc28250"/>
      <w:r>
        <w:rPr>
          <w:rFonts w:hint="eastAsia" w:ascii="黑体" w:hAnsi="黑体" w:eastAsia="黑体" w:cs="黑体"/>
          <w:sz w:val="32"/>
          <w:szCs w:val="32"/>
          <w:lang w:val="en-US" w:eastAsia="zh-CN"/>
        </w:rPr>
        <w:t>九、国有资本经营预算支出情况说明</w:t>
      </w:r>
      <w:bookmarkEnd w:id="36"/>
      <w:bookmarkEnd w:id="37"/>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苍溪县人民检察院2024年无国有资本经营预算拨款安排的支出。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38" w:name="_Toc16393"/>
      <w:bookmarkStart w:id="39" w:name="_Toc16279"/>
      <w:r>
        <w:rPr>
          <w:rFonts w:hint="eastAsia" w:ascii="黑体" w:hAnsi="黑体" w:eastAsia="黑体" w:cs="黑体"/>
          <w:sz w:val="32"/>
          <w:szCs w:val="32"/>
          <w:lang w:val="en-US" w:eastAsia="zh-CN"/>
        </w:rPr>
        <w:t>十、其他重要事项的情况说明</w:t>
      </w:r>
      <w:bookmarkEnd w:id="38"/>
      <w:bookmarkEnd w:id="39"/>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0" w:name="_Toc24211"/>
      <w:bookmarkStart w:id="41" w:name="_Toc1463"/>
      <w:r>
        <w:rPr>
          <w:rFonts w:hint="eastAsia" w:ascii="楷体_GB2312" w:hAnsi="楷体_GB2312" w:eastAsia="楷体_GB2312" w:cs="楷体_GB2312"/>
          <w:sz w:val="32"/>
          <w:szCs w:val="32"/>
          <w:lang w:val="en-US" w:eastAsia="zh-CN"/>
        </w:rPr>
        <w:t>（一）机关运行经费</w:t>
      </w:r>
      <w:bookmarkEnd w:id="40"/>
      <w:bookmarkEnd w:id="41"/>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2024年，苍溪县人民检察院下属局机关等1家行政单位的机关运行经费财政拨款预算为174.46万元，比2023年预算增加11.28万元，增长6.91%。主要原因是人员增加，机关运行经费相应增加。</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2" w:name="_Toc18963"/>
      <w:bookmarkStart w:id="43" w:name="_Toc28320"/>
      <w:r>
        <w:rPr>
          <w:rFonts w:hint="eastAsia" w:ascii="楷体_GB2312" w:hAnsi="楷体_GB2312" w:eastAsia="楷体_GB2312" w:cs="楷体_GB2312"/>
          <w:sz w:val="32"/>
          <w:szCs w:val="32"/>
          <w:lang w:val="en-US" w:eastAsia="zh-CN"/>
        </w:rPr>
        <w:t>（二）政府采购情况</w:t>
      </w:r>
      <w:bookmarkEnd w:id="42"/>
      <w:bookmarkEnd w:id="43"/>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2024年，苍溪县人民检察院安排政府采购预算0万元。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4" w:name="_Toc18472"/>
      <w:bookmarkStart w:id="45" w:name="_Toc31863"/>
      <w:r>
        <w:rPr>
          <w:rFonts w:hint="eastAsia" w:ascii="楷体_GB2312" w:hAnsi="楷体_GB2312" w:eastAsia="楷体_GB2312" w:cs="楷体_GB2312"/>
          <w:sz w:val="32"/>
          <w:szCs w:val="32"/>
          <w:lang w:val="en-US" w:eastAsia="zh-CN"/>
        </w:rPr>
        <w:t>（三）国有资产占有使用情况</w:t>
      </w:r>
      <w:bookmarkEnd w:id="44"/>
      <w:bookmarkEnd w:id="45"/>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截至2023年底，苍溪县人民检察院共有车辆8辆，其中，执法执勤用车8辆。单位价值200万元以上大型设备0台（套）。</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2024年部门预算安排车辆购置及大型设备购置经费0万元</w:t>
      </w:r>
      <w:r>
        <w:rPr>
          <w:rFonts w:hint="eastAsia" w:ascii="仿宋_GB2312" w:hAnsi="仿宋_GB2312" w:eastAsia="仿宋_GB2312" w:cs="仿宋_GB2312"/>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46" w:name="_Toc30840"/>
      <w:bookmarkStart w:id="47" w:name="_Toc23506"/>
      <w:r>
        <w:rPr>
          <w:rFonts w:hint="eastAsia" w:ascii="楷体_GB2312" w:hAnsi="楷体_GB2312" w:eastAsia="楷体_GB2312" w:cs="楷体_GB2312"/>
          <w:sz w:val="32"/>
          <w:szCs w:val="32"/>
          <w:lang w:val="en-US" w:eastAsia="zh-CN"/>
        </w:rPr>
        <w:t>（四）绩效目标设置情况</w:t>
      </w:r>
      <w:bookmarkEnd w:id="46"/>
      <w:bookmarkEnd w:id="47"/>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2024年苍溪县人民检察院开展绩效目标管理的项目</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lang w:val="en-US" w:eastAsia="zh-CN"/>
        </w:rPr>
        <w:t>个，涉及预算1301.03万元。其中：人员类项目4个，涉及预算944.34万元；运转类项目3个，涉及预算174.46万元；特定目标类项目3个，涉及预算182.23万元。</w:t>
      </w:r>
      <w:bookmarkStart w:id="50" w:name="_GoBack"/>
      <w:bookmarkEnd w:id="50"/>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48" w:name="_Toc15198"/>
      <w:bookmarkStart w:id="49" w:name="_Toc25347"/>
      <w:r>
        <w:rPr>
          <w:rFonts w:hint="eastAsia" w:ascii="黑体" w:hAnsi="黑体" w:eastAsia="黑体" w:cs="黑体"/>
          <w:sz w:val="32"/>
          <w:szCs w:val="32"/>
          <w:lang w:val="en-US" w:eastAsia="zh-CN"/>
        </w:rPr>
        <w:t>十一、名词解释</w:t>
      </w:r>
      <w:bookmarkEnd w:id="48"/>
      <w:bookmarkEnd w:id="49"/>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指市财政当年安排的财政预算收入。按现行管理制度，部门预算中反映的财政拨款包括一般公共预算拨款。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（二）公共安全（类）检察（款）行政运行（项）：</w:t>
      </w:r>
      <w:r>
        <w:rPr>
          <w:rFonts w:hint="eastAsia" w:ascii="仿宋_GB2312" w:hAnsi="仿宋_GB2312" w:eastAsia="仿宋_GB2312" w:cs="仿宋_GB2312"/>
          <w:sz w:val="32"/>
          <w:szCs w:val="32"/>
          <w:lang w:val="en-US" w:eastAsia="zh-CN"/>
        </w:rPr>
        <w:t>指检察机关用于保障机构正常运行、开展日常工作的基本支出。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（三）公共安全（类）检察（款）检察监督（项）：</w:t>
      </w:r>
      <w:r>
        <w:rPr>
          <w:rFonts w:hint="eastAsia" w:ascii="仿宋_GB2312" w:hAnsi="仿宋_GB2312" w:eastAsia="仿宋_GB2312" w:cs="仿宋_GB2312"/>
          <w:sz w:val="32"/>
          <w:szCs w:val="32"/>
          <w:lang w:val="en-US" w:eastAsia="zh-CN"/>
        </w:rPr>
        <w:t>指检察机关依法开展法律监督工作的支出。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（四）社会保障和就业（类）行政事业单位养老支出（款）机关事业单位基本养老保险缴费支出（项）：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（五）社会保障和就业（类）其他社会保障和就业支出（款）其他社会保障和就业支出（项）：</w:t>
      </w:r>
      <w:r>
        <w:rPr>
          <w:rFonts w:hint="eastAsia" w:ascii="仿宋_GB2312" w:hAnsi="仿宋_GB2312" w:eastAsia="仿宋_GB2312" w:cs="仿宋_GB2312"/>
          <w:sz w:val="32"/>
          <w:szCs w:val="32"/>
          <w:lang w:val="en-US" w:eastAsia="zh-CN"/>
        </w:rPr>
        <w:t>反映除上述项目以外其他用于社会保障和就业方面的支出。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（六）卫生健康（类）行政事业单位医疗（款）行政单位医疗（项）：</w:t>
      </w:r>
      <w:r>
        <w:rPr>
          <w:rFonts w:hint="eastAsia" w:ascii="仿宋_GB2312" w:hAnsi="仿宋_GB2312" w:eastAsia="仿宋_GB2312" w:cs="仿宋_GB2312"/>
          <w:sz w:val="32"/>
          <w:szCs w:val="32"/>
          <w:lang w:val="en-US" w:eastAsia="zh-CN"/>
        </w:rPr>
        <w:t>指机关单位用于单位应缴纳基本医疗保险支出。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（七）住房保障（类）住房改革支出（款）住房公积金（项）：</w:t>
      </w:r>
      <w:r>
        <w:rPr>
          <w:rFonts w:hint="eastAsia" w:ascii="仿宋_GB2312" w:hAnsi="仿宋_GB2312" w:eastAsia="仿宋_GB2312" w:cs="仿宋_GB2312"/>
          <w:sz w:val="32"/>
          <w:szCs w:val="32"/>
          <w:lang w:val="en-US" w:eastAsia="zh-CN"/>
        </w:rPr>
        <w:t>反映按人力资源和社会保障部、财政部规定的基本工资和津贴补贴以及规定比例为职工缴纳的住房公积金。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（十一）机关运行经费：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pStyle w:val="2"/>
        <w:shd w:val="clear"/>
        <w:rPr>
          <w:rFonts w:hint="eastAsia" w:ascii="仿宋_GB2312" w:hAnsi="仿宋_GB2312" w:eastAsia="仿宋_GB2312" w:cs="仿宋_GB2312"/>
          <w:sz w:val="32"/>
          <w:szCs w:val="32"/>
          <w:lang w:val="en-US" w:eastAsia="zh-CN"/>
        </w:rPr>
      </w:pPr>
    </w:p>
    <w:p>
      <w:pPr>
        <w:shd w:val="clear"/>
        <w:rPr>
          <w:rFonts w:hint="eastAsia"/>
          <w:lang w:val="en-US"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sectPr>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仿宋简体">
    <w:panose1 w:val="03000509000000000000"/>
    <w:charset w:val="86"/>
    <w:family w:val="auto"/>
    <w:pitch w:val="default"/>
    <w:sig w:usb0="00000001" w:usb1="080E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11B64AF"/>
    <w:rsid w:val="012352D1"/>
    <w:rsid w:val="01514167"/>
    <w:rsid w:val="01A41047"/>
    <w:rsid w:val="02B52978"/>
    <w:rsid w:val="03590B77"/>
    <w:rsid w:val="03B05733"/>
    <w:rsid w:val="064F2C3F"/>
    <w:rsid w:val="07A07BF6"/>
    <w:rsid w:val="083566D7"/>
    <w:rsid w:val="09C23374"/>
    <w:rsid w:val="0DB25311"/>
    <w:rsid w:val="0F1C6FDC"/>
    <w:rsid w:val="11286567"/>
    <w:rsid w:val="11531836"/>
    <w:rsid w:val="119A72A0"/>
    <w:rsid w:val="13152603"/>
    <w:rsid w:val="141F18CA"/>
    <w:rsid w:val="176E136D"/>
    <w:rsid w:val="1AA20E81"/>
    <w:rsid w:val="1D9F113A"/>
    <w:rsid w:val="1DEF0B38"/>
    <w:rsid w:val="1F1D3483"/>
    <w:rsid w:val="1F341124"/>
    <w:rsid w:val="1F520C6C"/>
    <w:rsid w:val="1F7BF06F"/>
    <w:rsid w:val="1F7D7486"/>
    <w:rsid w:val="1FBB2D4E"/>
    <w:rsid w:val="1FEE4B73"/>
    <w:rsid w:val="1FF26BAE"/>
    <w:rsid w:val="20877CCF"/>
    <w:rsid w:val="237C6220"/>
    <w:rsid w:val="23B1490B"/>
    <w:rsid w:val="23BF71FF"/>
    <w:rsid w:val="23CE9849"/>
    <w:rsid w:val="24472CCA"/>
    <w:rsid w:val="25730BF0"/>
    <w:rsid w:val="25D32D3D"/>
    <w:rsid w:val="293C1993"/>
    <w:rsid w:val="29CF0DBC"/>
    <w:rsid w:val="2B261911"/>
    <w:rsid w:val="2C3C1CCE"/>
    <w:rsid w:val="2C501AB2"/>
    <w:rsid w:val="2C9C18D6"/>
    <w:rsid w:val="2CB872AC"/>
    <w:rsid w:val="2CDF6992"/>
    <w:rsid w:val="2E903C71"/>
    <w:rsid w:val="2F913897"/>
    <w:rsid w:val="2FF26266"/>
    <w:rsid w:val="32AB6513"/>
    <w:rsid w:val="336963AA"/>
    <w:rsid w:val="350C3926"/>
    <w:rsid w:val="35D360D4"/>
    <w:rsid w:val="372799D5"/>
    <w:rsid w:val="375EA894"/>
    <w:rsid w:val="383428ED"/>
    <w:rsid w:val="38477E23"/>
    <w:rsid w:val="39AD2067"/>
    <w:rsid w:val="39F304DD"/>
    <w:rsid w:val="3CBC56FE"/>
    <w:rsid w:val="3D6F788E"/>
    <w:rsid w:val="3D8B5F3C"/>
    <w:rsid w:val="3E807EF2"/>
    <w:rsid w:val="3F015F8D"/>
    <w:rsid w:val="3F0B792A"/>
    <w:rsid w:val="3FBD23EC"/>
    <w:rsid w:val="4070745F"/>
    <w:rsid w:val="40E9213E"/>
    <w:rsid w:val="41421E90"/>
    <w:rsid w:val="43566DE0"/>
    <w:rsid w:val="435C0514"/>
    <w:rsid w:val="440E3217"/>
    <w:rsid w:val="44B12482"/>
    <w:rsid w:val="44F85C75"/>
    <w:rsid w:val="453E418A"/>
    <w:rsid w:val="475D79CE"/>
    <w:rsid w:val="48E84272"/>
    <w:rsid w:val="48E877DE"/>
    <w:rsid w:val="4B43620E"/>
    <w:rsid w:val="4BDC2C88"/>
    <w:rsid w:val="4BF4363A"/>
    <w:rsid w:val="4E624B57"/>
    <w:rsid w:val="4F323738"/>
    <w:rsid w:val="4FD7787B"/>
    <w:rsid w:val="514A6A4A"/>
    <w:rsid w:val="522A0746"/>
    <w:rsid w:val="52860C89"/>
    <w:rsid w:val="54244390"/>
    <w:rsid w:val="54662A63"/>
    <w:rsid w:val="54E87AB4"/>
    <w:rsid w:val="57A32D23"/>
    <w:rsid w:val="57C739B1"/>
    <w:rsid w:val="58064E12"/>
    <w:rsid w:val="5BFEE015"/>
    <w:rsid w:val="5DBD97EE"/>
    <w:rsid w:val="5E32544C"/>
    <w:rsid w:val="5EB241BB"/>
    <w:rsid w:val="5EDC192B"/>
    <w:rsid w:val="5F9F1AF5"/>
    <w:rsid w:val="5FFD7442"/>
    <w:rsid w:val="61306A6A"/>
    <w:rsid w:val="61BC1839"/>
    <w:rsid w:val="61FD1294"/>
    <w:rsid w:val="621139B4"/>
    <w:rsid w:val="62A50D92"/>
    <w:rsid w:val="62EF7C32"/>
    <w:rsid w:val="63EDCF55"/>
    <w:rsid w:val="63FBFBCF"/>
    <w:rsid w:val="667B2536"/>
    <w:rsid w:val="6687311B"/>
    <w:rsid w:val="669360FD"/>
    <w:rsid w:val="66DE0ACC"/>
    <w:rsid w:val="66FD119D"/>
    <w:rsid w:val="681317B4"/>
    <w:rsid w:val="68EF720B"/>
    <w:rsid w:val="68FF6A83"/>
    <w:rsid w:val="69AC0557"/>
    <w:rsid w:val="6A5135AE"/>
    <w:rsid w:val="6AC625CC"/>
    <w:rsid w:val="6AEF6005"/>
    <w:rsid w:val="6B637EDE"/>
    <w:rsid w:val="6BEC17E0"/>
    <w:rsid w:val="6C8F5B95"/>
    <w:rsid w:val="6CDE737B"/>
    <w:rsid w:val="6E3DB48E"/>
    <w:rsid w:val="6E824807"/>
    <w:rsid w:val="6EB4459D"/>
    <w:rsid w:val="6EC66318"/>
    <w:rsid w:val="6F347726"/>
    <w:rsid w:val="6FBBC9CF"/>
    <w:rsid w:val="70180DF5"/>
    <w:rsid w:val="709C7235"/>
    <w:rsid w:val="719F16DB"/>
    <w:rsid w:val="72B8066E"/>
    <w:rsid w:val="72BDE561"/>
    <w:rsid w:val="732F7237"/>
    <w:rsid w:val="74460B5C"/>
    <w:rsid w:val="746E2181"/>
    <w:rsid w:val="74987405"/>
    <w:rsid w:val="74E90CB1"/>
    <w:rsid w:val="74F35B22"/>
    <w:rsid w:val="759C3A3A"/>
    <w:rsid w:val="768B79D3"/>
    <w:rsid w:val="76926D40"/>
    <w:rsid w:val="76FFB43F"/>
    <w:rsid w:val="7736F29C"/>
    <w:rsid w:val="77644920"/>
    <w:rsid w:val="77935205"/>
    <w:rsid w:val="78016613"/>
    <w:rsid w:val="78462278"/>
    <w:rsid w:val="78C53FCC"/>
    <w:rsid w:val="794B3FEA"/>
    <w:rsid w:val="798B30D0"/>
    <w:rsid w:val="7997EA6C"/>
    <w:rsid w:val="7AEAE675"/>
    <w:rsid w:val="7BAFCE5D"/>
    <w:rsid w:val="7C8021FC"/>
    <w:rsid w:val="7D46598C"/>
    <w:rsid w:val="7D9F8F0F"/>
    <w:rsid w:val="7DFB240B"/>
    <w:rsid w:val="7DFE05E7"/>
    <w:rsid w:val="7E0935ED"/>
    <w:rsid w:val="7FBE357F"/>
    <w:rsid w:val="7FCF2AF7"/>
    <w:rsid w:val="8DFCF9F0"/>
    <w:rsid w:val="9FEF033D"/>
    <w:rsid w:val="A27FF1E5"/>
    <w:rsid w:val="AF3FEDDD"/>
    <w:rsid w:val="AFDEB5A7"/>
    <w:rsid w:val="AFEA7FBF"/>
    <w:rsid w:val="B71FE0C2"/>
    <w:rsid w:val="B83F4767"/>
    <w:rsid w:val="BF930F07"/>
    <w:rsid w:val="BFCE8436"/>
    <w:rsid w:val="C3F7EB7A"/>
    <w:rsid w:val="CF5D56DA"/>
    <w:rsid w:val="CFF5FEEC"/>
    <w:rsid w:val="D3DD9064"/>
    <w:rsid w:val="D6F76A0C"/>
    <w:rsid w:val="D7ECE8D2"/>
    <w:rsid w:val="DFDD4FB5"/>
    <w:rsid w:val="E7F748B5"/>
    <w:rsid w:val="EE5F3713"/>
    <w:rsid w:val="EFC9D62C"/>
    <w:rsid w:val="F6BE9755"/>
    <w:rsid w:val="F6FFA89B"/>
    <w:rsid w:val="F88D0DC7"/>
    <w:rsid w:val="FAE4EFE1"/>
    <w:rsid w:val="FB9B6F12"/>
    <w:rsid w:val="FBB66A4A"/>
    <w:rsid w:val="FDEE6989"/>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99"/>
    <w:pPr>
      <w:spacing w:line="560" w:lineRule="exact"/>
      <w:ind w:firstLine="640" w:firstLineChars="200"/>
    </w:pPr>
    <w:rPr>
      <w:rFonts w:eastAsia="方正仿宋简体"/>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Salutation"/>
    <w:basedOn w:val="1"/>
    <w:next w:val="1"/>
    <w:unhideWhenUsed/>
    <w:qFormat/>
    <w:uiPriority w:val="99"/>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admin</dc:creator>
  <cp:lastModifiedBy> </cp:lastModifiedBy>
  <dcterms:modified xsi:type="dcterms:W3CDTF">2024-02-18T16:52:08Z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ies>
</file>