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D0F" w:rsidRDefault="00A941E1">
      <w:pPr>
        <w:widowControl/>
        <w:shd w:val="clear" w:color="auto" w:fill="FFFFFF"/>
        <w:spacing w:line="580" w:lineRule="atLeas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kern w:val="0"/>
          <w:sz w:val="44"/>
          <w:szCs w:val="44"/>
          <w:shd w:val="clear" w:color="auto" w:fill="FFFFFF"/>
        </w:rPr>
        <w:t>广元市利州区人民检察院</w:t>
      </w:r>
    </w:p>
    <w:p w:rsidR="00715D0F" w:rsidRDefault="00A941E1">
      <w:pPr>
        <w:widowControl/>
        <w:shd w:val="clear" w:color="auto" w:fill="FFFFFF"/>
        <w:spacing w:line="580" w:lineRule="atLeast"/>
        <w:jc w:val="center"/>
        <w:rPr>
          <w:rFonts w:ascii="方正小标宋简体" w:eastAsia="方正小标宋简体" w:hAnsi="方正小标宋简体" w:cs="方正小标宋简体"/>
          <w:color w:val="000000" w:themeColor="text1"/>
          <w:kern w:val="0"/>
          <w:sz w:val="44"/>
          <w:szCs w:val="44"/>
          <w:shd w:val="clear" w:color="auto" w:fill="FFFFFF"/>
        </w:rPr>
      </w:pPr>
      <w:r>
        <w:rPr>
          <w:rFonts w:ascii="方正小标宋简体" w:eastAsia="方正小标宋简体" w:hAnsi="方正小标宋简体" w:cs="方正小标宋简体" w:hint="eastAsia"/>
          <w:color w:val="000000" w:themeColor="text1"/>
          <w:kern w:val="0"/>
          <w:sz w:val="44"/>
          <w:szCs w:val="44"/>
          <w:shd w:val="clear" w:color="auto" w:fill="FFFFFF"/>
        </w:rPr>
        <w:t>2024</w:t>
      </w:r>
      <w:r>
        <w:rPr>
          <w:rFonts w:ascii="方正小标宋简体" w:eastAsia="方正小标宋简体" w:hAnsi="方正小标宋简体" w:cs="方正小标宋简体" w:hint="eastAsia"/>
          <w:color w:val="000000" w:themeColor="text1"/>
          <w:kern w:val="0"/>
          <w:sz w:val="44"/>
          <w:szCs w:val="44"/>
          <w:shd w:val="clear" w:color="auto" w:fill="FFFFFF"/>
        </w:rPr>
        <w:t>年部门预算编制说明</w:t>
      </w: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p w:rsidR="00715D0F" w:rsidRDefault="00715D0F">
      <w:pPr>
        <w:jc w:val="center"/>
        <w:rPr>
          <w:rFonts w:ascii="黑体" w:eastAsia="黑体" w:hAnsi="黑体" w:cs="黑体"/>
          <w:color w:val="000000" w:themeColor="text1"/>
          <w:kern w:val="0"/>
          <w:sz w:val="32"/>
          <w:szCs w:val="32"/>
          <w:shd w:val="clear" w:color="auto" w:fill="FFFFFF"/>
        </w:rPr>
      </w:pPr>
    </w:p>
    <w:sdt>
      <w:sdtPr>
        <w:rPr>
          <w:rFonts w:ascii="宋体" w:hAnsi="宋体"/>
        </w:rPr>
        <w:id w:val="39221592"/>
        <w:docPartObj>
          <w:docPartGallery w:val="Table of Contents"/>
          <w:docPartUnique/>
        </w:docPartObj>
      </w:sdtPr>
      <w:sdtContent>
        <w:p w:rsidR="00715D0F" w:rsidRDefault="00715D0F"/>
      </w:sdtContent>
    </w:sdt>
    <w:p w:rsidR="00715D0F" w:rsidRDefault="00715D0F"/>
    <w:sdt>
      <w:sdtPr>
        <w:rPr>
          <w:rFonts w:ascii="宋体" w:hAnsi="宋体"/>
        </w:rPr>
        <w:id w:val="615975988"/>
        <w:docPartObj>
          <w:docPartGallery w:val="Table of Contents"/>
          <w:docPartUnique/>
        </w:docPartObj>
      </w:sdtPr>
      <w:sdtContent>
        <w:p w:rsidR="00715D0F" w:rsidRDefault="00A941E1">
          <w:pPr>
            <w:jc w:val="center"/>
          </w:pPr>
          <w:r>
            <w:rPr>
              <w:rFonts w:ascii="宋体" w:hAnsi="宋体"/>
            </w:rPr>
            <w:t>目录</w:t>
          </w:r>
        </w:p>
        <w:p w:rsidR="00715D0F" w:rsidRDefault="00715D0F">
          <w:pPr>
            <w:pStyle w:val="WPSOffice1"/>
            <w:tabs>
              <w:tab w:val="right" w:leader="dot" w:pos="8845"/>
            </w:tabs>
            <w:spacing w:line="300" w:lineRule="auto"/>
          </w:pPr>
          <w:r w:rsidRPr="00715D0F">
            <w:fldChar w:fldCharType="begin"/>
          </w:r>
          <w:r w:rsidR="00A941E1">
            <w:instrText xml:space="preserve">TOC \o "1-3" \h \u </w:instrText>
          </w:r>
          <w:r w:rsidRPr="00715D0F">
            <w:fldChar w:fldCharType="separate"/>
          </w:r>
        </w:p>
        <w:p w:rsidR="00715D0F" w:rsidRDefault="00715D0F">
          <w:pPr>
            <w:pStyle w:val="WPSOffice1"/>
            <w:tabs>
              <w:tab w:val="right" w:leader="dot" w:pos="8845"/>
            </w:tabs>
            <w:spacing w:line="300" w:lineRule="auto"/>
          </w:pPr>
          <w:hyperlink w:anchor="_Toc215231022" w:history="1">
            <w:r w:rsidR="00A941E1">
              <w:rPr>
                <w:rFonts w:ascii="黑体" w:eastAsia="黑体" w:hAnsi="黑体" w:cs="黑体" w:hint="eastAsia"/>
                <w:szCs w:val="32"/>
              </w:rPr>
              <w:t>一、基本职能及主要工作</w:t>
            </w:r>
            <w:r w:rsidR="00A941E1">
              <w:tab/>
            </w:r>
            <w:r>
              <w:fldChar w:fldCharType="begin"/>
            </w:r>
            <w:r w:rsidR="00A941E1">
              <w:instrText xml:space="preserve"> PAGEREF _Toc215231022 \h </w:instrText>
            </w:r>
            <w:r>
              <w:fldChar w:fldCharType="separate"/>
            </w:r>
            <w:r w:rsidR="00A941E1">
              <w:t>3</w:t>
            </w:r>
            <w:r>
              <w:fldChar w:fldCharType="end"/>
            </w:r>
          </w:hyperlink>
        </w:p>
        <w:p w:rsidR="00715D0F" w:rsidRDefault="00715D0F" w:rsidP="00B7272B">
          <w:pPr>
            <w:pStyle w:val="WPSOffice2"/>
            <w:tabs>
              <w:tab w:val="right" w:leader="dot" w:pos="8845"/>
            </w:tabs>
            <w:spacing w:line="300" w:lineRule="auto"/>
            <w:ind w:left="420"/>
          </w:pPr>
          <w:hyperlink w:anchor="_Toc65952848" w:history="1">
            <w:r w:rsidR="00A941E1">
              <w:rPr>
                <w:rFonts w:ascii="楷体_GB2312" w:eastAsia="楷体_GB2312" w:hAnsi="楷体_GB2312" w:cs="楷体_GB2312" w:hint="eastAsia"/>
                <w:szCs w:val="32"/>
              </w:rPr>
              <w:t>（一）广元市利州区人民检察院职能简介</w:t>
            </w:r>
            <w:r w:rsidR="00A941E1">
              <w:tab/>
            </w:r>
            <w:r>
              <w:fldChar w:fldCharType="begin"/>
            </w:r>
            <w:r w:rsidR="00A941E1">
              <w:instrText xml:space="preserve"> PAGEREF _Toc65952848 \h </w:instrText>
            </w:r>
            <w:r>
              <w:fldChar w:fldCharType="separate"/>
            </w:r>
            <w:r w:rsidR="00A941E1">
              <w:t>3</w:t>
            </w:r>
            <w:r>
              <w:fldChar w:fldCharType="end"/>
            </w:r>
          </w:hyperlink>
        </w:p>
        <w:p w:rsidR="00715D0F" w:rsidRDefault="00715D0F" w:rsidP="00B7272B">
          <w:pPr>
            <w:pStyle w:val="WPSOffice2"/>
            <w:tabs>
              <w:tab w:val="right" w:leader="dot" w:pos="8845"/>
            </w:tabs>
            <w:spacing w:line="300" w:lineRule="auto"/>
            <w:ind w:left="420"/>
          </w:pPr>
          <w:hyperlink w:anchor="_Toc1327857818" w:history="1">
            <w:r w:rsidR="00A941E1">
              <w:rPr>
                <w:rFonts w:ascii="楷体_GB2312" w:eastAsia="楷体_GB2312" w:hAnsi="楷体_GB2312" w:cs="楷体_GB2312" w:hint="eastAsia"/>
                <w:szCs w:val="32"/>
              </w:rPr>
              <w:t>（二）广元市利州区人民检察院</w:t>
            </w:r>
            <w:r w:rsidR="00A941E1">
              <w:rPr>
                <w:rFonts w:ascii="楷体_GB2312" w:eastAsia="楷体_GB2312" w:hAnsi="楷体_GB2312" w:cs="楷体_GB2312" w:hint="eastAsia"/>
                <w:szCs w:val="32"/>
              </w:rPr>
              <w:t>2024</w:t>
            </w:r>
            <w:r w:rsidR="00A941E1">
              <w:rPr>
                <w:rFonts w:ascii="楷体_GB2312" w:eastAsia="楷体_GB2312" w:hAnsi="楷体_GB2312" w:cs="楷体_GB2312" w:hint="eastAsia"/>
                <w:szCs w:val="32"/>
              </w:rPr>
              <w:t>年重点工作</w:t>
            </w:r>
            <w:r w:rsidR="00A941E1">
              <w:tab/>
            </w:r>
            <w:r>
              <w:fldChar w:fldCharType="begin"/>
            </w:r>
            <w:r w:rsidR="00A941E1">
              <w:instrText xml:space="preserve"> PAGEREF _Toc1327857818 \h </w:instrText>
            </w:r>
            <w:r>
              <w:fldChar w:fldCharType="separate"/>
            </w:r>
            <w:r w:rsidR="00A941E1">
              <w:t>3</w:t>
            </w:r>
            <w:r>
              <w:fldChar w:fldCharType="end"/>
            </w:r>
          </w:hyperlink>
        </w:p>
        <w:p w:rsidR="00715D0F" w:rsidRDefault="00715D0F">
          <w:pPr>
            <w:pStyle w:val="WPSOffice1"/>
            <w:tabs>
              <w:tab w:val="right" w:leader="dot" w:pos="8845"/>
            </w:tabs>
            <w:spacing w:line="300" w:lineRule="auto"/>
          </w:pPr>
          <w:hyperlink w:anchor="_Toc1321164667" w:history="1">
            <w:r w:rsidR="00A941E1">
              <w:rPr>
                <w:rFonts w:ascii="黑体" w:eastAsia="黑体" w:hAnsi="黑体" w:cs="黑体" w:hint="eastAsia"/>
                <w:szCs w:val="32"/>
              </w:rPr>
              <w:t>二、部门预算单位构成</w:t>
            </w:r>
            <w:r w:rsidR="00A941E1">
              <w:tab/>
            </w:r>
            <w:r>
              <w:fldChar w:fldCharType="begin"/>
            </w:r>
            <w:r w:rsidR="00A941E1">
              <w:instrText xml:space="preserve"> PAGEREF _Toc1321164667 \h </w:instrText>
            </w:r>
            <w:r>
              <w:fldChar w:fldCharType="separate"/>
            </w:r>
            <w:r w:rsidR="00A941E1">
              <w:t>5</w:t>
            </w:r>
            <w:r>
              <w:fldChar w:fldCharType="end"/>
            </w:r>
          </w:hyperlink>
        </w:p>
        <w:p w:rsidR="00715D0F" w:rsidRDefault="00715D0F">
          <w:pPr>
            <w:pStyle w:val="WPSOffice1"/>
            <w:tabs>
              <w:tab w:val="right" w:leader="dot" w:pos="8845"/>
            </w:tabs>
            <w:spacing w:line="300" w:lineRule="auto"/>
          </w:pPr>
          <w:hyperlink w:anchor="_Toc119578486" w:history="1">
            <w:r w:rsidR="00A941E1">
              <w:rPr>
                <w:rFonts w:ascii="黑体" w:eastAsia="黑体" w:hAnsi="黑体" w:cs="黑体" w:hint="eastAsia"/>
                <w:szCs w:val="32"/>
              </w:rPr>
              <w:t>三、收支预算情况说明</w:t>
            </w:r>
            <w:r w:rsidR="00A941E1">
              <w:tab/>
            </w:r>
            <w:r>
              <w:fldChar w:fldCharType="begin"/>
            </w:r>
            <w:r w:rsidR="00A941E1">
              <w:instrText xml:space="preserve"> PAGEREF _Toc119578486 \h </w:instrText>
            </w:r>
            <w:r>
              <w:fldChar w:fldCharType="separate"/>
            </w:r>
            <w:r w:rsidR="00A941E1">
              <w:t>5</w:t>
            </w:r>
            <w:r>
              <w:fldChar w:fldCharType="end"/>
            </w:r>
          </w:hyperlink>
        </w:p>
        <w:p w:rsidR="00715D0F" w:rsidRDefault="00715D0F" w:rsidP="00B7272B">
          <w:pPr>
            <w:pStyle w:val="WPSOffice2"/>
            <w:tabs>
              <w:tab w:val="right" w:leader="dot" w:pos="8845"/>
            </w:tabs>
            <w:spacing w:line="300" w:lineRule="auto"/>
            <w:ind w:left="420"/>
          </w:pPr>
          <w:hyperlink w:anchor="_Toc364692079" w:history="1">
            <w:r w:rsidR="00A941E1">
              <w:rPr>
                <w:rFonts w:ascii="楷体_GB2312" w:eastAsia="楷体_GB2312" w:hAnsi="楷体_GB2312" w:cs="楷体_GB2312" w:hint="eastAsia"/>
                <w:szCs w:val="32"/>
              </w:rPr>
              <w:t>（一）收入预算情况</w:t>
            </w:r>
            <w:r w:rsidR="00A941E1">
              <w:tab/>
            </w:r>
            <w:r>
              <w:fldChar w:fldCharType="begin"/>
            </w:r>
            <w:r w:rsidR="00A941E1">
              <w:instrText xml:space="preserve"> PAGEREF _Toc364692079 \h </w:instrText>
            </w:r>
            <w:r>
              <w:fldChar w:fldCharType="separate"/>
            </w:r>
            <w:r w:rsidR="00A941E1">
              <w:t>6</w:t>
            </w:r>
            <w:r>
              <w:fldChar w:fldCharType="end"/>
            </w:r>
          </w:hyperlink>
        </w:p>
        <w:p w:rsidR="00715D0F" w:rsidRDefault="00715D0F" w:rsidP="00B7272B">
          <w:pPr>
            <w:pStyle w:val="WPSOffice2"/>
            <w:tabs>
              <w:tab w:val="right" w:leader="dot" w:pos="8845"/>
            </w:tabs>
            <w:spacing w:line="300" w:lineRule="auto"/>
            <w:ind w:left="420"/>
          </w:pPr>
          <w:hyperlink w:anchor="_Toc1037959539" w:history="1">
            <w:r w:rsidR="00A941E1">
              <w:rPr>
                <w:rFonts w:ascii="楷体_GB2312" w:eastAsia="楷体_GB2312" w:hAnsi="楷体_GB2312" w:cs="楷体_GB2312" w:hint="eastAsia"/>
                <w:szCs w:val="32"/>
              </w:rPr>
              <w:t>（二）支出预算情况</w:t>
            </w:r>
            <w:r w:rsidR="00A941E1">
              <w:tab/>
            </w:r>
            <w:r>
              <w:fldChar w:fldCharType="begin"/>
            </w:r>
            <w:r w:rsidR="00A941E1">
              <w:instrText xml:space="preserve"> PAGEREF _Toc1037959539 \h </w:instrText>
            </w:r>
            <w:r>
              <w:fldChar w:fldCharType="separate"/>
            </w:r>
            <w:r w:rsidR="00A941E1">
              <w:t>6</w:t>
            </w:r>
            <w:r>
              <w:fldChar w:fldCharType="end"/>
            </w:r>
          </w:hyperlink>
        </w:p>
        <w:p w:rsidR="00715D0F" w:rsidRDefault="00715D0F">
          <w:pPr>
            <w:pStyle w:val="WPSOffice1"/>
            <w:tabs>
              <w:tab w:val="right" w:leader="dot" w:pos="8845"/>
            </w:tabs>
            <w:spacing w:line="300" w:lineRule="auto"/>
          </w:pPr>
          <w:hyperlink w:anchor="_Toc2094944235" w:history="1">
            <w:r w:rsidR="00A941E1">
              <w:rPr>
                <w:rFonts w:ascii="黑体" w:eastAsia="黑体" w:hAnsi="黑体" w:cs="黑体" w:hint="eastAsia"/>
                <w:szCs w:val="32"/>
              </w:rPr>
              <w:t>四、财政拨款收支预算情况说明</w:t>
            </w:r>
            <w:r w:rsidR="00A941E1">
              <w:tab/>
            </w:r>
            <w:r>
              <w:fldChar w:fldCharType="begin"/>
            </w:r>
            <w:r w:rsidR="00A941E1">
              <w:instrText xml:space="preserve"> PAGEREF _Toc2094944235 \h </w:instrText>
            </w:r>
            <w:r>
              <w:fldChar w:fldCharType="separate"/>
            </w:r>
            <w:r w:rsidR="00A941E1">
              <w:t>6</w:t>
            </w:r>
            <w:r>
              <w:fldChar w:fldCharType="end"/>
            </w:r>
          </w:hyperlink>
        </w:p>
        <w:p w:rsidR="00715D0F" w:rsidRDefault="00715D0F">
          <w:pPr>
            <w:pStyle w:val="WPSOffice1"/>
            <w:tabs>
              <w:tab w:val="right" w:leader="dot" w:pos="8845"/>
            </w:tabs>
            <w:spacing w:line="300" w:lineRule="auto"/>
          </w:pPr>
          <w:hyperlink w:anchor="_Toc1580637565" w:history="1">
            <w:r w:rsidR="00A941E1">
              <w:rPr>
                <w:rFonts w:ascii="黑体" w:eastAsia="黑体" w:hAnsi="黑体" w:cs="黑体" w:hint="eastAsia"/>
                <w:szCs w:val="32"/>
              </w:rPr>
              <w:t>五、一般公共预算当年拨款情况说明</w:t>
            </w:r>
            <w:r w:rsidR="00A941E1">
              <w:tab/>
            </w:r>
            <w:r>
              <w:fldChar w:fldCharType="begin"/>
            </w:r>
            <w:r w:rsidR="00A941E1">
              <w:instrText xml:space="preserve"> PAGEREF _Toc1580637565 \h </w:instrText>
            </w:r>
            <w:r>
              <w:fldChar w:fldCharType="separate"/>
            </w:r>
            <w:r w:rsidR="00A941E1">
              <w:t>6</w:t>
            </w:r>
            <w:r>
              <w:fldChar w:fldCharType="end"/>
            </w:r>
          </w:hyperlink>
        </w:p>
        <w:p w:rsidR="00715D0F" w:rsidRDefault="00715D0F" w:rsidP="00B7272B">
          <w:pPr>
            <w:pStyle w:val="WPSOffice2"/>
            <w:tabs>
              <w:tab w:val="right" w:leader="dot" w:pos="8845"/>
            </w:tabs>
            <w:spacing w:line="300" w:lineRule="auto"/>
            <w:ind w:left="420"/>
          </w:pPr>
          <w:hyperlink w:anchor="_Toc1541516346" w:history="1">
            <w:r w:rsidR="00A941E1">
              <w:rPr>
                <w:rFonts w:ascii="楷体_GB2312" w:eastAsia="楷体_GB2312" w:hAnsi="楷体_GB2312" w:cs="楷体_GB2312" w:hint="eastAsia"/>
                <w:szCs w:val="32"/>
              </w:rPr>
              <w:t>（一）一般公共预算当年拨款规模变化情况</w:t>
            </w:r>
            <w:r w:rsidR="00A941E1">
              <w:tab/>
            </w:r>
            <w:r>
              <w:fldChar w:fldCharType="begin"/>
            </w:r>
            <w:r w:rsidR="00A941E1">
              <w:instrText xml:space="preserve"> PAGEREF _Toc1541516346 \h </w:instrText>
            </w:r>
            <w:r>
              <w:fldChar w:fldCharType="separate"/>
            </w:r>
            <w:r w:rsidR="00A941E1">
              <w:t>6</w:t>
            </w:r>
            <w:r>
              <w:fldChar w:fldCharType="end"/>
            </w:r>
          </w:hyperlink>
        </w:p>
        <w:p w:rsidR="00715D0F" w:rsidRDefault="00715D0F" w:rsidP="00B7272B">
          <w:pPr>
            <w:pStyle w:val="WPSOffice2"/>
            <w:tabs>
              <w:tab w:val="right" w:leader="dot" w:pos="8845"/>
            </w:tabs>
            <w:spacing w:line="300" w:lineRule="auto"/>
            <w:ind w:left="420"/>
          </w:pPr>
          <w:hyperlink w:anchor="_Toc1822333568" w:history="1">
            <w:r w:rsidR="00A941E1">
              <w:rPr>
                <w:rFonts w:ascii="楷体_GB2312" w:eastAsia="楷体_GB2312" w:hAnsi="楷体_GB2312" w:cs="楷体_GB2312" w:hint="eastAsia"/>
                <w:szCs w:val="32"/>
              </w:rPr>
              <w:t>（二）一般公共预算当年拨款结构情况</w:t>
            </w:r>
            <w:r w:rsidR="00A941E1">
              <w:tab/>
            </w:r>
            <w:r>
              <w:fldChar w:fldCharType="begin"/>
            </w:r>
            <w:r w:rsidR="00A941E1">
              <w:instrText xml:space="preserve"> PAGEREF _Toc1822333568 \h </w:instrText>
            </w:r>
            <w:r>
              <w:fldChar w:fldCharType="separate"/>
            </w:r>
            <w:r w:rsidR="00A941E1">
              <w:t>7</w:t>
            </w:r>
            <w:r>
              <w:fldChar w:fldCharType="end"/>
            </w:r>
          </w:hyperlink>
        </w:p>
        <w:p w:rsidR="00715D0F" w:rsidRDefault="00715D0F" w:rsidP="00B7272B">
          <w:pPr>
            <w:pStyle w:val="WPSOffice2"/>
            <w:tabs>
              <w:tab w:val="right" w:leader="dot" w:pos="8845"/>
            </w:tabs>
            <w:spacing w:line="300" w:lineRule="auto"/>
            <w:ind w:left="420"/>
          </w:pPr>
          <w:hyperlink w:anchor="_Toc333706200" w:history="1">
            <w:r w:rsidR="00A941E1">
              <w:rPr>
                <w:rFonts w:ascii="楷体_GB2312" w:eastAsia="楷体_GB2312" w:hAnsi="楷体_GB2312" w:cs="楷体_GB2312" w:hint="eastAsia"/>
                <w:szCs w:val="32"/>
              </w:rPr>
              <w:t>（三）一般公共预算当年拨款具体使用情况</w:t>
            </w:r>
            <w:r w:rsidR="00A941E1">
              <w:tab/>
            </w:r>
            <w:r>
              <w:fldChar w:fldCharType="begin"/>
            </w:r>
            <w:r w:rsidR="00A941E1">
              <w:instrText xml:space="preserve"> PAGEREF _Toc333706200 \h </w:instrText>
            </w:r>
            <w:r>
              <w:fldChar w:fldCharType="separate"/>
            </w:r>
            <w:r w:rsidR="00A941E1">
              <w:t>7</w:t>
            </w:r>
            <w:r>
              <w:fldChar w:fldCharType="end"/>
            </w:r>
          </w:hyperlink>
        </w:p>
        <w:p w:rsidR="00715D0F" w:rsidRDefault="00715D0F">
          <w:pPr>
            <w:pStyle w:val="WPSOffice1"/>
            <w:tabs>
              <w:tab w:val="right" w:leader="dot" w:pos="8845"/>
            </w:tabs>
            <w:spacing w:line="300" w:lineRule="auto"/>
          </w:pPr>
          <w:hyperlink w:anchor="_Toc1372567447" w:history="1">
            <w:r w:rsidR="00A941E1">
              <w:rPr>
                <w:rFonts w:ascii="黑体" w:eastAsia="黑体" w:hAnsi="黑体" w:cs="黑体" w:hint="eastAsia"/>
                <w:szCs w:val="32"/>
              </w:rPr>
              <w:t>六、一般公共预算基本支出情况说明</w:t>
            </w:r>
            <w:r w:rsidR="00A941E1">
              <w:tab/>
            </w:r>
            <w:r>
              <w:fldChar w:fldCharType="begin"/>
            </w:r>
            <w:r w:rsidR="00A941E1">
              <w:instrText xml:space="preserve"> PAGEREF _Toc1372567447 \h </w:instrText>
            </w:r>
            <w:r>
              <w:fldChar w:fldCharType="separate"/>
            </w:r>
            <w:r w:rsidR="00A941E1">
              <w:t>8</w:t>
            </w:r>
            <w:r>
              <w:fldChar w:fldCharType="end"/>
            </w:r>
          </w:hyperlink>
        </w:p>
        <w:p w:rsidR="00715D0F" w:rsidRDefault="00715D0F">
          <w:pPr>
            <w:pStyle w:val="WPSOffice1"/>
            <w:tabs>
              <w:tab w:val="right" w:leader="dot" w:pos="8845"/>
            </w:tabs>
            <w:spacing w:line="300" w:lineRule="auto"/>
          </w:pPr>
          <w:hyperlink w:anchor="_Toc70559336" w:history="1">
            <w:r w:rsidR="00A941E1">
              <w:rPr>
                <w:rFonts w:ascii="黑体" w:eastAsia="黑体" w:hAnsi="黑体" w:cs="黑体" w:hint="eastAsia"/>
                <w:szCs w:val="32"/>
              </w:rPr>
              <w:t>七、“三公”经费财政拨款预算安排情况说明</w:t>
            </w:r>
            <w:r w:rsidR="00A941E1">
              <w:tab/>
            </w:r>
            <w:r>
              <w:fldChar w:fldCharType="begin"/>
            </w:r>
            <w:r w:rsidR="00A941E1">
              <w:instrText xml:space="preserve"> PAGEREF _Toc70559336 \h </w:instrText>
            </w:r>
            <w:r>
              <w:fldChar w:fldCharType="separate"/>
            </w:r>
            <w:r w:rsidR="00A941E1">
              <w:t>8</w:t>
            </w:r>
            <w:r>
              <w:fldChar w:fldCharType="end"/>
            </w:r>
          </w:hyperlink>
        </w:p>
        <w:p w:rsidR="00715D0F" w:rsidRDefault="00715D0F" w:rsidP="00B7272B">
          <w:pPr>
            <w:pStyle w:val="WPSOffice2"/>
            <w:tabs>
              <w:tab w:val="right" w:leader="dot" w:pos="8845"/>
            </w:tabs>
            <w:spacing w:line="300" w:lineRule="auto"/>
            <w:ind w:left="420"/>
          </w:pPr>
          <w:hyperlink w:anchor="_Toc561154550" w:history="1">
            <w:r w:rsidR="00A941E1">
              <w:rPr>
                <w:rFonts w:ascii="楷体_GB2312" w:eastAsia="楷体_GB2312" w:hAnsi="楷体_GB2312" w:cs="楷体_GB2312" w:hint="eastAsia"/>
                <w:szCs w:val="32"/>
              </w:rPr>
              <w:t>（一）公务接待费</w:t>
            </w:r>
            <w:r w:rsidR="00A941E1">
              <w:tab/>
            </w:r>
            <w:r>
              <w:fldChar w:fldCharType="begin"/>
            </w:r>
            <w:r w:rsidR="00A941E1">
              <w:instrText xml:space="preserve"> PAGEREF _Toc561154550 \h </w:instrText>
            </w:r>
            <w:r>
              <w:fldChar w:fldCharType="separate"/>
            </w:r>
            <w:r w:rsidR="00A941E1">
              <w:t>9</w:t>
            </w:r>
            <w:r>
              <w:fldChar w:fldCharType="end"/>
            </w:r>
          </w:hyperlink>
        </w:p>
        <w:p w:rsidR="00715D0F" w:rsidRDefault="00715D0F" w:rsidP="00B7272B">
          <w:pPr>
            <w:pStyle w:val="WPSOffice2"/>
            <w:tabs>
              <w:tab w:val="right" w:leader="dot" w:pos="8845"/>
            </w:tabs>
            <w:spacing w:line="300" w:lineRule="auto"/>
            <w:ind w:left="420"/>
          </w:pPr>
          <w:hyperlink w:anchor="_Toc1979680019" w:history="1">
            <w:r w:rsidR="00A941E1">
              <w:rPr>
                <w:rFonts w:ascii="楷体_GB2312" w:eastAsia="楷体_GB2312" w:hAnsi="楷体_GB2312" w:cs="楷体_GB2312" w:hint="eastAsia"/>
                <w:szCs w:val="32"/>
              </w:rPr>
              <w:t>（二）</w:t>
            </w:r>
            <w:r w:rsidR="00A941E1">
              <w:rPr>
                <w:rFonts w:ascii="楷体_GB2312" w:eastAsia="楷体_GB2312" w:hAnsi="楷体_GB2312" w:cs="楷体_GB2312" w:hint="eastAsia"/>
                <w:szCs w:val="32"/>
              </w:rPr>
              <w:t xml:space="preserve"> </w:t>
            </w:r>
            <w:r w:rsidR="00A941E1">
              <w:rPr>
                <w:rFonts w:ascii="楷体_GB2312" w:eastAsia="楷体_GB2312" w:hAnsi="楷体_GB2312" w:cs="楷体_GB2312" w:hint="eastAsia"/>
                <w:szCs w:val="32"/>
              </w:rPr>
              <w:t>公务用车购置及运行维护费</w:t>
            </w:r>
            <w:r w:rsidR="00A941E1">
              <w:tab/>
            </w:r>
            <w:r>
              <w:fldChar w:fldCharType="begin"/>
            </w:r>
            <w:r w:rsidR="00A941E1">
              <w:instrText xml:space="preserve"> PAGEREF _Toc1979680019 \h </w:instrText>
            </w:r>
            <w:r>
              <w:fldChar w:fldCharType="separate"/>
            </w:r>
            <w:r w:rsidR="00A941E1">
              <w:t>9</w:t>
            </w:r>
            <w:r>
              <w:fldChar w:fldCharType="end"/>
            </w:r>
          </w:hyperlink>
        </w:p>
        <w:p w:rsidR="00715D0F" w:rsidRDefault="00715D0F" w:rsidP="00B7272B">
          <w:pPr>
            <w:pStyle w:val="WPSOffice2"/>
            <w:tabs>
              <w:tab w:val="right" w:leader="dot" w:pos="8845"/>
            </w:tabs>
            <w:spacing w:line="300" w:lineRule="auto"/>
            <w:ind w:left="420"/>
          </w:pPr>
          <w:hyperlink w:anchor="_Toc1347092972" w:history="1">
            <w:r w:rsidR="00A941E1">
              <w:rPr>
                <w:rFonts w:ascii="仿宋_GB2312" w:eastAsia="仿宋_GB2312" w:hAnsi="仿宋_GB2312" w:cs="仿宋_GB2312" w:hint="eastAsia"/>
                <w:szCs w:val="32"/>
              </w:rPr>
              <w:t>（</w:t>
            </w:r>
            <w:r w:rsidR="00A941E1">
              <w:rPr>
                <w:rFonts w:ascii="楷体_GB2312" w:eastAsia="楷体_GB2312" w:hAnsi="楷体_GB2312" w:cs="楷体_GB2312" w:hint="eastAsia"/>
                <w:szCs w:val="32"/>
              </w:rPr>
              <w:t>三）因公出国（境）经费</w:t>
            </w:r>
            <w:r w:rsidR="00A941E1">
              <w:tab/>
            </w:r>
            <w:r>
              <w:fldChar w:fldCharType="begin"/>
            </w:r>
            <w:r w:rsidR="00A941E1">
              <w:instrText xml:space="preserve"> PAGEREF _Toc1347092972 \h </w:instrText>
            </w:r>
            <w:r>
              <w:fldChar w:fldCharType="separate"/>
            </w:r>
            <w:r w:rsidR="00A941E1">
              <w:t>9</w:t>
            </w:r>
            <w:r>
              <w:fldChar w:fldCharType="end"/>
            </w:r>
          </w:hyperlink>
        </w:p>
        <w:p w:rsidR="00715D0F" w:rsidRDefault="00715D0F">
          <w:pPr>
            <w:pStyle w:val="WPSOffice1"/>
            <w:tabs>
              <w:tab w:val="right" w:leader="dot" w:pos="8845"/>
            </w:tabs>
            <w:spacing w:line="300" w:lineRule="auto"/>
          </w:pPr>
          <w:hyperlink w:anchor="_Toc2142303468" w:history="1">
            <w:r w:rsidR="00A941E1">
              <w:rPr>
                <w:rFonts w:ascii="黑体" w:eastAsia="黑体" w:hAnsi="黑体" w:cs="黑体" w:hint="eastAsia"/>
                <w:szCs w:val="32"/>
              </w:rPr>
              <w:t>八、政府性基金预算支出情况说明</w:t>
            </w:r>
            <w:r w:rsidR="00A941E1">
              <w:tab/>
            </w:r>
            <w:r>
              <w:fldChar w:fldCharType="begin"/>
            </w:r>
            <w:r w:rsidR="00A941E1">
              <w:instrText xml:space="preserve"> PAGEREF _Toc2142303468 \h </w:instrText>
            </w:r>
            <w:r>
              <w:fldChar w:fldCharType="separate"/>
            </w:r>
            <w:r w:rsidR="00A941E1">
              <w:t>9</w:t>
            </w:r>
            <w:r>
              <w:fldChar w:fldCharType="end"/>
            </w:r>
          </w:hyperlink>
        </w:p>
        <w:p w:rsidR="00715D0F" w:rsidRDefault="00715D0F">
          <w:pPr>
            <w:pStyle w:val="WPSOffice1"/>
            <w:tabs>
              <w:tab w:val="right" w:leader="dot" w:pos="8845"/>
            </w:tabs>
            <w:spacing w:line="300" w:lineRule="auto"/>
          </w:pPr>
          <w:hyperlink w:anchor="_Toc605901695" w:history="1">
            <w:r w:rsidR="00A941E1">
              <w:rPr>
                <w:rFonts w:ascii="黑体" w:eastAsia="黑体" w:hAnsi="黑体" w:cs="黑体" w:hint="eastAsia"/>
                <w:szCs w:val="32"/>
              </w:rPr>
              <w:t>九、国有资本经营预算支出情况说明</w:t>
            </w:r>
            <w:r w:rsidR="00A941E1">
              <w:tab/>
            </w:r>
            <w:r>
              <w:fldChar w:fldCharType="begin"/>
            </w:r>
            <w:r w:rsidR="00A941E1">
              <w:instrText xml:space="preserve"> PAGEREF _Toc605901695 \h </w:instrText>
            </w:r>
            <w:r>
              <w:fldChar w:fldCharType="separate"/>
            </w:r>
            <w:r w:rsidR="00A941E1">
              <w:t>10</w:t>
            </w:r>
            <w:r>
              <w:fldChar w:fldCharType="end"/>
            </w:r>
          </w:hyperlink>
        </w:p>
        <w:p w:rsidR="00715D0F" w:rsidRDefault="00715D0F">
          <w:pPr>
            <w:pStyle w:val="WPSOffice1"/>
            <w:tabs>
              <w:tab w:val="right" w:leader="dot" w:pos="8845"/>
            </w:tabs>
            <w:spacing w:line="300" w:lineRule="auto"/>
          </w:pPr>
          <w:hyperlink w:anchor="_Toc1688061409" w:history="1">
            <w:r w:rsidR="00A941E1">
              <w:rPr>
                <w:rFonts w:ascii="黑体" w:eastAsia="黑体" w:hAnsi="黑体" w:cs="黑体" w:hint="eastAsia"/>
                <w:szCs w:val="32"/>
              </w:rPr>
              <w:t>十、其他重要事项的情况说明</w:t>
            </w:r>
            <w:r w:rsidR="00A941E1">
              <w:tab/>
            </w:r>
            <w:r>
              <w:fldChar w:fldCharType="begin"/>
            </w:r>
            <w:r w:rsidR="00A941E1">
              <w:instrText xml:space="preserve"> PAGEREF _Toc1688061409 \h </w:instrText>
            </w:r>
            <w:r>
              <w:fldChar w:fldCharType="separate"/>
            </w:r>
            <w:r w:rsidR="00A941E1">
              <w:t>10</w:t>
            </w:r>
            <w:r>
              <w:fldChar w:fldCharType="end"/>
            </w:r>
          </w:hyperlink>
        </w:p>
        <w:p w:rsidR="00715D0F" w:rsidRDefault="00715D0F" w:rsidP="00B7272B">
          <w:pPr>
            <w:pStyle w:val="WPSOffice2"/>
            <w:tabs>
              <w:tab w:val="right" w:leader="dot" w:pos="8845"/>
            </w:tabs>
            <w:spacing w:line="300" w:lineRule="auto"/>
            <w:ind w:left="420"/>
          </w:pPr>
          <w:hyperlink w:anchor="_Toc557040499" w:history="1">
            <w:r w:rsidR="00A941E1">
              <w:rPr>
                <w:rFonts w:ascii="楷体_GB2312" w:eastAsia="楷体_GB2312" w:hAnsi="楷体_GB2312" w:cs="楷体_GB2312" w:hint="eastAsia"/>
                <w:szCs w:val="32"/>
              </w:rPr>
              <w:t>（一）机关运行经费</w:t>
            </w:r>
            <w:r w:rsidR="00A941E1">
              <w:tab/>
            </w:r>
            <w:r>
              <w:fldChar w:fldCharType="begin"/>
            </w:r>
            <w:r w:rsidR="00A941E1">
              <w:instrText xml:space="preserve"> PAGEREF _Toc557040499 \h </w:instrText>
            </w:r>
            <w:r>
              <w:fldChar w:fldCharType="separate"/>
            </w:r>
            <w:r w:rsidR="00A941E1">
              <w:t>10</w:t>
            </w:r>
            <w:r>
              <w:fldChar w:fldCharType="end"/>
            </w:r>
          </w:hyperlink>
        </w:p>
        <w:p w:rsidR="00715D0F" w:rsidRDefault="00715D0F" w:rsidP="00B7272B">
          <w:pPr>
            <w:pStyle w:val="WPSOffice2"/>
            <w:tabs>
              <w:tab w:val="right" w:leader="dot" w:pos="8845"/>
            </w:tabs>
            <w:spacing w:line="300" w:lineRule="auto"/>
            <w:ind w:left="420"/>
          </w:pPr>
          <w:hyperlink w:anchor="_Toc229811398" w:history="1">
            <w:r w:rsidR="00A941E1">
              <w:rPr>
                <w:rFonts w:ascii="楷体_GB2312" w:eastAsia="楷体_GB2312" w:hAnsi="楷体_GB2312" w:cs="楷体_GB2312" w:hint="eastAsia"/>
                <w:szCs w:val="32"/>
              </w:rPr>
              <w:t>（二）政府采购情况</w:t>
            </w:r>
            <w:r w:rsidR="00A941E1">
              <w:tab/>
            </w:r>
            <w:r>
              <w:fldChar w:fldCharType="begin"/>
            </w:r>
            <w:r w:rsidR="00A941E1">
              <w:instrText xml:space="preserve"> PAGEREF _Toc229811398 \h </w:instrText>
            </w:r>
            <w:r>
              <w:fldChar w:fldCharType="separate"/>
            </w:r>
            <w:r w:rsidR="00A941E1">
              <w:t>10</w:t>
            </w:r>
            <w:r>
              <w:fldChar w:fldCharType="end"/>
            </w:r>
          </w:hyperlink>
        </w:p>
        <w:p w:rsidR="00715D0F" w:rsidRDefault="00715D0F" w:rsidP="00B7272B">
          <w:pPr>
            <w:pStyle w:val="WPSOffice2"/>
            <w:tabs>
              <w:tab w:val="right" w:leader="dot" w:pos="8845"/>
            </w:tabs>
            <w:spacing w:line="300" w:lineRule="auto"/>
            <w:ind w:left="420"/>
          </w:pPr>
          <w:hyperlink w:anchor="_Toc1501410950" w:history="1">
            <w:r w:rsidR="00A941E1">
              <w:rPr>
                <w:rFonts w:ascii="楷体_GB2312" w:eastAsia="楷体_GB2312" w:hAnsi="楷体_GB2312" w:cs="楷体_GB2312" w:hint="eastAsia"/>
                <w:szCs w:val="32"/>
              </w:rPr>
              <w:t>（三）国有资产占有使用情况</w:t>
            </w:r>
            <w:r w:rsidR="00A941E1">
              <w:tab/>
            </w:r>
            <w:r>
              <w:fldChar w:fldCharType="begin"/>
            </w:r>
            <w:r w:rsidR="00A941E1">
              <w:instrText xml:space="preserve"> PAGEREF _Toc1501410950 \h </w:instrText>
            </w:r>
            <w:r>
              <w:fldChar w:fldCharType="separate"/>
            </w:r>
            <w:r w:rsidR="00A941E1">
              <w:t>10</w:t>
            </w:r>
            <w:r>
              <w:fldChar w:fldCharType="end"/>
            </w:r>
          </w:hyperlink>
        </w:p>
        <w:p w:rsidR="00715D0F" w:rsidRDefault="00715D0F" w:rsidP="00B7272B">
          <w:pPr>
            <w:pStyle w:val="WPSOffice2"/>
            <w:tabs>
              <w:tab w:val="right" w:leader="dot" w:pos="8845"/>
            </w:tabs>
            <w:spacing w:line="300" w:lineRule="auto"/>
            <w:ind w:left="420"/>
          </w:pPr>
          <w:hyperlink w:anchor="_Toc1243803081" w:history="1">
            <w:r w:rsidR="00A941E1">
              <w:rPr>
                <w:rFonts w:ascii="楷体_GB2312" w:eastAsia="楷体_GB2312" w:hAnsi="楷体_GB2312" w:cs="楷体_GB2312" w:hint="eastAsia"/>
                <w:szCs w:val="32"/>
              </w:rPr>
              <w:t>（四）绩效目标设置情况</w:t>
            </w:r>
            <w:r w:rsidR="00A941E1">
              <w:tab/>
            </w:r>
            <w:r>
              <w:fldChar w:fldCharType="begin"/>
            </w:r>
            <w:r w:rsidR="00A941E1">
              <w:instrText xml:space="preserve"> PAGEREF _Toc1243803081 \h</w:instrText>
            </w:r>
            <w:r w:rsidR="00A941E1">
              <w:instrText xml:space="preserve"> </w:instrText>
            </w:r>
            <w:r>
              <w:fldChar w:fldCharType="separate"/>
            </w:r>
            <w:r w:rsidR="00A941E1">
              <w:t>10</w:t>
            </w:r>
            <w:r>
              <w:fldChar w:fldCharType="end"/>
            </w:r>
          </w:hyperlink>
        </w:p>
        <w:p w:rsidR="00715D0F" w:rsidRDefault="00715D0F">
          <w:pPr>
            <w:pStyle w:val="WPSOffice1"/>
            <w:tabs>
              <w:tab w:val="right" w:leader="dot" w:pos="8845"/>
            </w:tabs>
            <w:spacing w:line="300" w:lineRule="auto"/>
          </w:pPr>
          <w:hyperlink w:anchor="_Toc888074516" w:history="1">
            <w:r w:rsidR="00A941E1">
              <w:rPr>
                <w:rFonts w:ascii="黑体" w:eastAsia="黑体" w:hAnsi="黑体" w:cs="黑体" w:hint="eastAsia"/>
                <w:szCs w:val="32"/>
              </w:rPr>
              <w:t>十一、名词解释</w:t>
            </w:r>
            <w:r w:rsidR="00A941E1">
              <w:tab/>
            </w:r>
            <w:r>
              <w:fldChar w:fldCharType="begin"/>
            </w:r>
            <w:r w:rsidR="00A941E1">
              <w:instrText xml:space="preserve"> PAGEREF _Toc888074516 \h </w:instrText>
            </w:r>
            <w:r>
              <w:fldChar w:fldCharType="separate"/>
            </w:r>
            <w:r w:rsidR="00A941E1">
              <w:t>11</w:t>
            </w:r>
            <w:r>
              <w:fldChar w:fldCharType="end"/>
            </w:r>
          </w:hyperlink>
        </w:p>
        <w:p w:rsidR="00715D0F" w:rsidRDefault="00715D0F">
          <w:pPr>
            <w:spacing w:line="300" w:lineRule="auto"/>
          </w:pPr>
          <w:r>
            <w:fldChar w:fldCharType="end"/>
          </w:r>
        </w:p>
      </w:sdtContent>
    </w:sdt>
    <w:p w:rsidR="00715D0F" w:rsidRDefault="00715D0F"/>
    <w:p w:rsidR="00715D0F" w:rsidRDefault="00715D0F">
      <w:pPr>
        <w:pStyle w:val="a9"/>
        <w:widowControl/>
        <w:shd w:val="clear" w:color="auto" w:fill="FFFFFF"/>
        <w:spacing w:before="130" w:line="580" w:lineRule="atLeast"/>
        <w:ind w:firstLineChars="200" w:firstLine="560"/>
        <w:rPr>
          <w:rFonts w:ascii="宋体" w:hAnsi="宋体" w:cs="宋体"/>
          <w:color w:val="000000" w:themeColor="text1"/>
          <w:kern w:val="0"/>
          <w:sz w:val="28"/>
          <w:szCs w:val="28"/>
          <w:shd w:val="clear" w:color="auto" w:fill="FFFFFF"/>
        </w:rPr>
      </w:pPr>
    </w:p>
    <w:p w:rsidR="00715D0F" w:rsidRDefault="00A941E1">
      <w:pPr>
        <w:spacing w:line="576" w:lineRule="exact"/>
        <w:ind w:firstLineChars="200" w:firstLine="640"/>
        <w:outlineLvl w:val="0"/>
        <w:rPr>
          <w:rFonts w:ascii="黑体" w:eastAsia="黑体" w:hAnsi="黑体" w:cs="黑体"/>
          <w:sz w:val="32"/>
          <w:szCs w:val="32"/>
        </w:rPr>
      </w:pPr>
      <w:bookmarkStart w:id="0" w:name="_Toc215231022"/>
      <w:r>
        <w:rPr>
          <w:rFonts w:ascii="黑体" w:eastAsia="黑体" w:hAnsi="黑体" w:cs="黑体" w:hint="eastAsia"/>
          <w:sz w:val="32"/>
          <w:szCs w:val="32"/>
        </w:rPr>
        <w:t>一、基本职能及主要工作</w:t>
      </w:r>
      <w:bookmarkEnd w:id="0"/>
    </w:p>
    <w:p w:rsidR="00715D0F" w:rsidRDefault="00A941E1">
      <w:pPr>
        <w:spacing w:line="576" w:lineRule="exact"/>
        <w:ind w:firstLineChars="200" w:firstLine="640"/>
        <w:outlineLvl w:val="1"/>
        <w:rPr>
          <w:rFonts w:ascii="楷体_GB2312" w:eastAsia="楷体_GB2312" w:hAnsi="楷体_GB2312" w:cs="楷体_GB2312"/>
          <w:sz w:val="32"/>
          <w:szCs w:val="32"/>
        </w:rPr>
      </w:pPr>
      <w:bookmarkStart w:id="1" w:name="_Toc65952848"/>
      <w:r>
        <w:rPr>
          <w:rFonts w:ascii="楷体_GB2312" w:eastAsia="楷体_GB2312" w:hAnsi="楷体_GB2312" w:cs="楷体_GB2312" w:hint="eastAsia"/>
          <w:sz w:val="32"/>
          <w:szCs w:val="32"/>
        </w:rPr>
        <w:t>（一）广元市利州区人民检察院职能简介</w:t>
      </w:r>
      <w:bookmarkEnd w:id="1"/>
    </w:p>
    <w:p w:rsidR="00715D0F" w:rsidRDefault="00A941E1">
      <w:pPr>
        <w:pStyle w:val="a9"/>
        <w:adjustRightInd w:val="0"/>
        <w:snapToGrid w:val="0"/>
        <w:spacing w:line="540" w:lineRule="exact"/>
        <w:rPr>
          <w:rFonts w:ascii="仿宋_GB2312" w:eastAsia="仿宋_GB2312" w:hAnsi="宋体" w:cs="宋体"/>
          <w:bCs/>
          <w:color w:val="333333"/>
          <w:sz w:val="32"/>
          <w:szCs w:val="32"/>
          <w:shd w:val="clear" w:color="auto" w:fill="FFFFFF"/>
        </w:rPr>
      </w:pPr>
      <w:r>
        <w:rPr>
          <w:rFonts w:ascii="仿宋_GB2312" w:eastAsia="仿宋_GB2312" w:hAnsi="宋体" w:cs="宋体" w:hint="eastAsia"/>
          <w:bCs/>
          <w:color w:val="333333"/>
          <w:sz w:val="32"/>
          <w:szCs w:val="32"/>
          <w:shd w:val="clear" w:color="auto" w:fill="FFFFFF"/>
        </w:rPr>
        <w:t xml:space="preserve">    1.</w:t>
      </w:r>
      <w:r>
        <w:rPr>
          <w:rFonts w:ascii="仿宋_GB2312" w:eastAsia="仿宋_GB2312" w:hAnsi="宋体" w:cs="宋体" w:hint="eastAsia"/>
          <w:bCs/>
          <w:color w:val="333333"/>
          <w:sz w:val="32"/>
          <w:szCs w:val="32"/>
          <w:shd w:val="clear" w:color="auto" w:fill="FFFFFF"/>
        </w:rPr>
        <w:t>对区人民代表大会及其常务委员会负责并报告工作，接受其监督；接受上级人民检察院的领导并对其负责。</w:t>
      </w:r>
    </w:p>
    <w:p w:rsidR="00715D0F" w:rsidRDefault="00A941E1">
      <w:pPr>
        <w:pStyle w:val="a9"/>
        <w:adjustRightInd w:val="0"/>
        <w:snapToGrid w:val="0"/>
        <w:spacing w:line="540" w:lineRule="exact"/>
        <w:rPr>
          <w:rFonts w:ascii="仿宋_GB2312" w:eastAsia="仿宋_GB2312" w:hAnsi="宋体" w:cs="宋体"/>
          <w:bCs/>
          <w:color w:val="333333"/>
          <w:sz w:val="32"/>
          <w:szCs w:val="32"/>
          <w:shd w:val="clear" w:color="auto" w:fill="FFFFFF"/>
        </w:rPr>
      </w:pPr>
      <w:r>
        <w:rPr>
          <w:rFonts w:ascii="仿宋_GB2312" w:eastAsia="仿宋_GB2312" w:hAnsi="宋体" w:cs="宋体" w:hint="eastAsia"/>
          <w:bCs/>
          <w:color w:val="333333"/>
          <w:sz w:val="32"/>
          <w:szCs w:val="32"/>
          <w:shd w:val="clear" w:color="auto" w:fill="FFFFFF"/>
        </w:rPr>
        <w:t xml:space="preserve">    2.</w:t>
      </w:r>
      <w:r>
        <w:rPr>
          <w:rFonts w:ascii="仿宋_GB2312" w:eastAsia="仿宋_GB2312" w:hAnsi="宋体" w:cs="宋体" w:hint="eastAsia"/>
          <w:bCs/>
          <w:color w:val="333333"/>
          <w:sz w:val="32"/>
          <w:szCs w:val="32"/>
          <w:shd w:val="clear" w:color="auto" w:fill="FFFFFF"/>
        </w:rPr>
        <w:t>依法向区人民代表大会及其常务委员会提出议案。</w:t>
      </w:r>
    </w:p>
    <w:p w:rsidR="00715D0F" w:rsidRDefault="00A941E1">
      <w:pPr>
        <w:pStyle w:val="a9"/>
        <w:adjustRightInd w:val="0"/>
        <w:snapToGrid w:val="0"/>
        <w:spacing w:line="540" w:lineRule="exact"/>
        <w:rPr>
          <w:rFonts w:ascii="仿宋_GB2312" w:eastAsia="仿宋_GB2312" w:hAnsi="宋体" w:cs="宋体"/>
          <w:bCs/>
          <w:color w:val="333333"/>
          <w:sz w:val="32"/>
          <w:szCs w:val="32"/>
          <w:shd w:val="clear" w:color="auto" w:fill="FFFFFF"/>
        </w:rPr>
      </w:pPr>
      <w:r>
        <w:rPr>
          <w:rFonts w:ascii="仿宋_GB2312" w:eastAsia="仿宋_GB2312" w:hAnsi="宋体" w:cs="宋体" w:hint="eastAsia"/>
          <w:bCs/>
          <w:color w:val="333333"/>
          <w:sz w:val="32"/>
          <w:szCs w:val="32"/>
          <w:shd w:val="clear" w:color="auto" w:fill="FFFFFF"/>
        </w:rPr>
        <w:t xml:space="preserve">    3.</w:t>
      </w:r>
      <w:r>
        <w:rPr>
          <w:rFonts w:ascii="仿宋_GB2312" w:eastAsia="仿宋_GB2312" w:hAnsi="宋体" w:cs="宋体" w:hint="eastAsia"/>
          <w:bCs/>
          <w:color w:val="333333"/>
          <w:sz w:val="32"/>
          <w:szCs w:val="32"/>
          <w:shd w:val="clear" w:color="auto" w:fill="FFFFFF"/>
        </w:rPr>
        <w:t>对于危害国家安全以及严重破坏国家的政策、法律、政令统一实施的重大犯罪案件，行使检察权。</w:t>
      </w:r>
    </w:p>
    <w:p w:rsidR="00715D0F" w:rsidRDefault="00A941E1">
      <w:pPr>
        <w:pStyle w:val="a9"/>
        <w:adjustRightInd w:val="0"/>
        <w:snapToGrid w:val="0"/>
        <w:spacing w:line="540" w:lineRule="exact"/>
        <w:rPr>
          <w:rFonts w:ascii="仿宋_GB2312" w:eastAsia="仿宋_GB2312" w:hAnsi="宋体" w:cs="宋体"/>
          <w:bCs/>
          <w:color w:val="333333"/>
          <w:sz w:val="32"/>
          <w:szCs w:val="32"/>
          <w:shd w:val="clear" w:color="auto" w:fill="FFFFFF"/>
        </w:rPr>
      </w:pPr>
      <w:r>
        <w:rPr>
          <w:rFonts w:ascii="仿宋_GB2312" w:eastAsia="仿宋_GB2312" w:hAnsi="宋体" w:cs="宋体" w:hint="eastAsia"/>
          <w:bCs/>
          <w:color w:val="333333"/>
          <w:sz w:val="32"/>
          <w:szCs w:val="32"/>
          <w:shd w:val="clear" w:color="auto" w:fill="FFFFFF"/>
        </w:rPr>
        <w:t xml:space="preserve">    4.</w:t>
      </w:r>
      <w:r>
        <w:rPr>
          <w:rFonts w:ascii="仿宋_GB2312" w:eastAsia="仿宋_GB2312" w:hAnsi="宋体" w:cs="宋体" w:hint="eastAsia"/>
          <w:bCs/>
          <w:color w:val="333333"/>
          <w:sz w:val="32"/>
          <w:szCs w:val="32"/>
          <w:shd w:val="clear" w:color="auto" w:fill="FFFFFF"/>
        </w:rPr>
        <w:t>对于公安机关、国家安全机关侦查的案件进行审查，决定是否逮捕、起诉或者不起诉，并对侦查活动是否合法实行监督。</w:t>
      </w:r>
    </w:p>
    <w:p w:rsidR="00715D0F" w:rsidRDefault="00A941E1">
      <w:pPr>
        <w:pStyle w:val="a9"/>
        <w:adjustRightInd w:val="0"/>
        <w:snapToGrid w:val="0"/>
        <w:spacing w:line="540" w:lineRule="exact"/>
        <w:rPr>
          <w:rFonts w:ascii="仿宋_GB2312" w:eastAsia="仿宋_GB2312" w:hAnsi="宋体" w:cs="宋体"/>
          <w:bCs/>
          <w:color w:val="333333"/>
          <w:sz w:val="32"/>
          <w:szCs w:val="32"/>
          <w:shd w:val="clear" w:color="auto" w:fill="FFFFFF"/>
        </w:rPr>
      </w:pPr>
      <w:r>
        <w:rPr>
          <w:rFonts w:ascii="仿宋_GB2312" w:eastAsia="仿宋_GB2312" w:hAnsi="宋体" w:cs="宋体" w:hint="eastAsia"/>
          <w:bCs/>
          <w:color w:val="333333"/>
          <w:sz w:val="32"/>
          <w:szCs w:val="32"/>
          <w:shd w:val="clear" w:color="auto" w:fill="FFFFFF"/>
        </w:rPr>
        <w:t xml:space="preserve">    5.</w:t>
      </w:r>
      <w:r>
        <w:rPr>
          <w:rFonts w:ascii="仿宋_GB2312" w:eastAsia="仿宋_GB2312" w:hAnsi="宋体" w:cs="宋体" w:hint="eastAsia"/>
          <w:bCs/>
          <w:color w:val="333333"/>
          <w:sz w:val="32"/>
          <w:szCs w:val="32"/>
          <w:shd w:val="clear" w:color="auto" w:fill="FFFFFF"/>
        </w:rPr>
        <w:t>对刑事案件提起公诉，支持公诉；对于人民法院的刑事判决、裁定是否正确和审判活动是否合法实行监督。</w:t>
      </w:r>
    </w:p>
    <w:p w:rsidR="00715D0F" w:rsidRDefault="00A941E1">
      <w:pPr>
        <w:pStyle w:val="a9"/>
        <w:adjustRightInd w:val="0"/>
        <w:snapToGrid w:val="0"/>
        <w:spacing w:line="540" w:lineRule="exact"/>
        <w:rPr>
          <w:rFonts w:ascii="仿宋_GB2312" w:eastAsia="仿宋_GB2312" w:hAnsi="宋体" w:cs="宋体"/>
          <w:bCs/>
          <w:color w:val="333333"/>
          <w:sz w:val="32"/>
          <w:szCs w:val="32"/>
          <w:shd w:val="clear" w:color="auto" w:fill="FFFFFF"/>
        </w:rPr>
      </w:pPr>
      <w:r>
        <w:rPr>
          <w:rFonts w:ascii="仿宋_GB2312" w:eastAsia="仿宋_GB2312" w:hAnsi="宋体" w:cs="宋体" w:hint="eastAsia"/>
          <w:bCs/>
          <w:color w:val="333333"/>
          <w:sz w:val="32"/>
          <w:szCs w:val="32"/>
          <w:shd w:val="clear" w:color="auto" w:fill="FFFFFF"/>
        </w:rPr>
        <w:t xml:space="preserve">    6.</w:t>
      </w:r>
      <w:r>
        <w:rPr>
          <w:rFonts w:ascii="仿宋_GB2312" w:eastAsia="仿宋_GB2312" w:hAnsi="宋体" w:cs="宋体" w:hint="eastAsia"/>
          <w:bCs/>
          <w:color w:val="333333"/>
          <w:sz w:val="32"/>
          <w:szCs w:val="32"/>
          <w:shd w:val="clear" w:color="auto" w:fill="FFFFFF"/>
        </w:rPr>
        <w:t>对人民法院的民事审判和行政诉讼活动实行法律监督，对人民法院已经发生效力的民事行政判决、裁定，有违反法律、法规规定的，依法提出抗诉。</w:t>
      </w:r>
    </w:p>
    <w:p w:rsidR="00715D0F" w:rsidRDefault="00A941E1">
      <w:pPr>
        <w:pStyle w:val="a9"/>
        <w:adjustRightInd w:val="0"/>
        <w:snapToGrid w:val="0"/>
        <w:spacing w:line="540" w:lineRule="exact"/>
        <w:rPr>
          <w:rFonts w:ascii="仿宋_GB2312" w:eastAsia="仿宋_GB2312" w:hAnsi="宋体" w:cs="宋体"/>
          <w:bCs/>
          <w:color w:val="333333"/>
          <w:sz w:val="32"/>
          <w:szCs w:val="32"/>
          <w:shd w:val="clear" w:color="auto" w:fill="FFFFFF"/>
        </w:rPr>
      </w:pPr>
      <w:r>
        <w:rPr>
          <w:rFonts w:ascii="仿宋_GB2312" w:eastAsia="仿宋_GB2312" w:hAnsi="宋体" w:cs="宋体" w:hint="eastAsia"/>
          <w:bCs/>
          <w:color w:val="333333"/>
          <w:sz w:val="32"/>
          <w:szCs w:val="32"/>
          <w:shd w:val="clear" w:color="auto" w:fill="FFFFFF"/>
        </w:rPr>
        <w:t xml:space="preserve">    7.</w:t>
      </w:r>
      <w:r>
        <w:rPr>
          <w:rFonts w:ascii="仿宋_GB2312" w:eastAsia="仿宋_GB2312" w:hAnsi="宋体" w:cs="宋体" w:hint="eastAsia"/>
          <w:bCs/>
          <w:color w:val="333333"/>
          <w:sz w:val="32"/>
          <w:szCs w:val="32"/>
          <w:shd w:val="clear" w:color="auto" w:fill="FFFFFF"/>
        </w:rPr>
        <w:t>依照法律规定提起公益诉讼。</w:t>
      </w:r>
    </w:p>
    <w:p w:rsidR="00715D0F" w:rsidRDefault="00A941E1">
      <w:pPr>
        <w:pStyle w:val="a9"/>
        <w:adjustRightInd w:val="0"/>
        <w:snapToGrid w:val="0"/>
        <w:spacing w:line="540" w:lineRule="exact"/>
        <w:rPr>
          <w:rFonts w:ascii="仿宋_GB2312" w:eastAsia="仿宋_GB2312" w:hAnsi="宋体" w:cs="宋体"/>
          <w:bCs/>
          <w:color w:val="333333"/>
          <w:sz w:val="32"/>
          <w:szCs w:val="32"/>
          <w:shd w:val="clear" w:color="auto" w:fill="FFFFFF"/>
        </w:rPr>
      </w:pPr>
      <w:r>
        <w:rPr>
          <w:rFonts w:ascii="仿宋_GB2312" w:eastAsia="仿宋_GB2312" w:hAnsi="宋体" w:cs="宋体" w:hint="eastAsia"/>
          <w:bCs/>
          <w:color w:val="333333"/>
          <w:sz w:val="32"/>
          <w:szCs w:val="32"/>
          <w:shd w:val="clear" w:color="auto" w:fill="FFFFFF"/>
        </w:rPr>
        <w:t xml:space="preserve">    8.</w:t>
      </w:r>
      <w:r>
        <w:rPr>
          <w:rFonts w:ascii="仿宋_GB2312" w:eastAsia="仿宋_GB2312" w:hAnsi="宋体" w:cs="宋体" w:hint="eastAsia"/>
          <w:bCs/>
          <w:color w:val="333333"/>
          <w:sz w:val="32"/>
          <w:szCs w:val="32"/>
          <w:shd w:val="clear" w:color="auto" w:fill="FFFFFF"/>
        </w:rPr>
        <w:t>对社区矫正活动是否合法实施监督。</w:t>
      </w:r>
    </w:p>
    <w:p w:rsidR="00715D0F" w:rsidRDefault="00A941E1">
      <w:pPr>
        <w:pStyle w:val="a9"/>
        <w:adjustRightInd w:val="0"/>
        <w:snapToGrid w:val="0"/>
        <w:spacing w:line="540" w:lineRule="exact"/>
        <w:rPr>
          <w:rFonts w:ascii="仿宋_GB2312" w:eastAsia="仿宋_GB2312" w:hAnsi="宋体" w:cs="宋体"/>
          <w:bCs/>
          <w:color w:val="333333"/>
          <w:sz w:val="32"/>
          <w:szCs w:val="32"/>
          <w:shd w:val="clear" w:color="auto" w:fill="FFFFFF"/>
        </w:rPr>
      </w:pPr>
      <w:r>
        <w:rPr>
          <w:rFonts w:ascii="仿宋_GB2312" w:eastAsia="仿宋_GB2312" w:hAnsi="宋体" w:cs="宋体" w:hint="eastAsia"/>
          <w:bCs/>
          <w:color w:val="333333"/>
          <w:sz w:val="32"/>
          <w:szCs w:val="32"/>
          <w:shd w:val="clear" w:color="auto" w:fill="FFFFFF"/>
        </w:rPr>
        <w:t xml:space="preserve">    9.</w:t>
      </w:r>
      <w:r>
        <w:rPr>
          <w:rFonts w:ascii="仿宋_GB2312" w:eastAsia="仿宋_GB2312" w:hAnsi="宋体" w:cs="宋体" w:hint="eastAsia"/>
          <w:bCs/>
          <w:color w:val="333333"/>
          <w:sz w:val="32"/>
          <w:szCs w:val="32"/>
          <w:shd w:val="clear" w:color="auto" w:fill="FFFFFF"/>
        </w:rPr>
        <w:t>负责其他应由本院承办的事项。</w:t>
      </w:r>
    </w:p>
    <w:p w:rsidR="00715D0F" w:rsidRDefault="00A941E1">
      <w:pPr>
        <w:spacing w:line="576" w:lineRule="exact"/>
        <w:ind w:firstLineChars="200" w:firstLine="640"/>
        <w:outlineLvl w:val="1"/>
        <w:rPr>
          <w:rFonts w:ascii="楷体_GB2312" w:eastAsia="楷体_GB2312" w:hAnsi="楷体_GB2312" w:cs="楷体_GB2312"/>
          <w:sz w:val="32"/>
          <w:szCs w:val="32"/>
        </w:rPr>
      </w:pPr>
      <w:bookmarkStart w:id="2" w:name="_Toc1327857818"/>
      <w:r>
        <w:rPr>
          <w:rFonts w:ascii="楷体_GB2312" w:eastAsia="楷体_GB2312" w:hAnsi="楷体_GB2312" w:cs="楷体_GB2312" w:hint="eastAsia"/>
          <w:sz w:val="32"/>
          <w:szCs w:val="32"/>
        </w:rPr>
        <w:t>（二）广元市利州区人民检察院</w:t>
      </w:r>
      <w:r>
        <w:rPr>
          <w:rFonts w:ascii="楷体_GB2312" w:eastAsia="楷体_GB2312" w:hAnsi="楷体_GB2312" w:cs="楷体_GB2312" w:hint="eastAsia"/>
          <w:sz w:val="32"/>
          <w:szCs w:val="32"/>
        </w:rPr>
        <w:t>2024</w:t>
      </w:r>
      <w:r>
        <w:rPr>
          <w:rFonts w:ascii="楷体_GB2312" w:eastAsia="楷体_GB2312" w:hAnsi="楷体_GB2312" w:cs="楷体_GB2312" w:hint="eastAsia"/>
          <w:sz w:val="32"/>
          <w:szCs w:val="32"/>
        </w:rPr>
        <w:t>年重点工作</w:t>
      </w:r>
      <w:bookmarkEnd w:id="2"/>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楷体" w:cs="楷体" w:hint="eastAsia"/>
          <w:sz w:val="32"/>
          <w:szCs w:val="32"/>
          <w:shd w:val="clear" w:color="auto" w:fill="FFFFFF"/>
        </w:rPr>
        <w:t>1</w:t>
      </w:r>
      <w:r>
        <w:rPr>
          <w:rFonts w:ascii="仿宋_GB2312" w:eastAsia="仿宋_GB2312" w:hAnsi="楷体" w:cs="楷体" w:hint="eastAsia"/>
          <w:sz w:val="32"/>
          <w:szCs w:val="32"/>
          <w:shd w:val="clear" w:color="auto" w:fill="FFFFFF"/>
        </w:rPr>
        <w:t>、更加自觉坚持党的绝对领导。</w:t>
      </w:r>
      <w:r>
        <w:rPr>
          <w:rFonts w:ascii="仿宋_GB2312" w:eastAsia="仿宋_GB2312" w:hAnsi="仿宋_GB2312" w:cs="仿宋_GB2312" w:hint="eastAsia"/>
          <w:sz w:val="32"/>
          <w:szCs w:val="32"/>
        </w:rPr>
        <w:t>坚持以全面贯彻习近平法治思想为引领，牢牢把握检察机关的政治属性，把坚持党的绝对领导作为检察工作的最高原则、最大优势。扎实开展主题教育，认真贯彻落实党中央、省委和最</w:t>
      </w:r>
      <w:r>
        <w:rPr>
          <w:rFonts w:ascii="仿宋_GB2312" w:eastAsia="仿宋_GB2312" w:hAnsi="仿宋_GB2312" w:cs="仿宋_GB2312" w:hint="eastAsia"/>
          <w:sz w:val="32"/>
          <w:szCs w:val="32"/>
        </w:rPr>
        <w:t>高检决策部署，把学习宣传贯彻</w:t>
      </w:r>
      <w:r>
        <w:rPr>
          <w:rFonts w:ascii="仿宋_GB2312" w:eastAsia="仿宋_GB2312" w:hAnsi="仿宋_GB2312" w:cs="仿宋_GB2312" w:hint="eastAsia"/>
          <w:sz w:val="32"/>
          <w:szCs w:val="32"/>
        </w:rPr>
        <w:lastRenderedPageBreak/>
        <w:t>习近平总书记来川、来广视察重要指示精神作为当前和今后一个时期的重要政治任务，推动检察干警更加深刻领悟“两个确立”的决定性意义，增强“四个意识”、坚定“四个自信”、坚决做到“两个维护”，坚决把党的绝对领导落实到检察工作各方面各环节。</w:t>
      </w:r>
    </w:p>
    <w:p w:rsidR="00715D0F" w:rsidRDefault="00A941E1">
      <w:pPr>
        <w:pStyle w:val="a6"/>
        <w:spacing w:line="576" w:lineRule="exact"/>
        <w:ind w:firstLineChars="200" w:firstLine="640"/>
        <w:jc w:val="both"/>
        <w:rPr>
          <w:rFonts w:ascii="仿宋_GB2312" w:eastAsia="仿宋_GB2312" w:hAnsi="仿宋_GB2312" w:cs="仿宋_GB2312"/>
          <w:sz w:val="32"/>
          <w:szCs w:val="32"/>
        </w:rPr>
      </w:pPr>
      <w:r>
        <w:rPr>
          <w:rFonts w:ascii="仿宋_GB2312" w:eastAsia="仿宋_GB2312" w:hAnsi="楷体" w:cs="楷体" w:hint="eastAsia"/>
          <w:sz w:val="32"/>
          <w:szCs w:val="32"/>
          <w:shd w:val="clear" w:color="auto" w:fill="FFFFFF"/>
        </w:rPr>
        <w:t>2</w:t>
      </w:r>
      <w:r>
        <w:rPr>
          <w:rFonts w:ascii="仿宋_GB2312" w:eastAsia="仿宋_GB2312" w:hAnsi="楷体" w:cs="楷体" w:hint="eastAsia"/>
          <w:sz w:val="32"/>
          <w:szCs w:val="32"/>
          <w:shd w:val="clear" w:color="auto" w:fill="FFFFFF"/>
        </w:rPr>
        <w:t>、更高水平服务经济发展大局。</w:t>
      </w:r>
      <w:r>
        <w:rPr>
          <w:rFonts w:ascii="仿宋_GB2312" w:eastAsia="仿宋_GB2312" w:hAnsi="仿宋_GB2312" w:cs="仿宋_GB2312" w:hint="eastAsia"/>
          <w:sz w:val="32"/>
          <w:szCs w:val="32"/>
        </w:rPr>
        <w:t>紧扣区委“五个一”利州现代化建设实践方案，持续优化法治化营商环境、推进涉案企业合规改革、探索知识产权综合保护等各项检察举措，切实增强服务保障经济高质量发展的主动性、实效性。综合运用“四大检察”职能，持续深入打好蓝天、碧水、</w:t>
      </w:r>
      <w:r>
        <w:rPr>
          <w:rFonts w:ascii="仿宋_GB2312" w:eastAsia="仿宋_GB2312" w:hAnsi="仿宋_GB2312" w:cs="仿宋_GB2312" w:hint="eastAsia"/>
          <w:sz w:val="32"/>
          <w:szCs w:val="32"/>
        </w:rPr>
        <w:t>净土保卫战，服务保障美丽利州建设。常态化抓实群众信访“件件有回复”、信访积案实质性化解、未成年人综合司法保护、公开听证、司法救助、行政争议实质性化解等各项检察为民实事，依法保障民生福祉。</w:t>
      </w:r>
    </w:p>
    <w:p w:rsidR="00715D0F" w:rsidRDefault="00A941E1">
      <w:pPr>
        <w:pStyle w:val="a6"/>
        <w:spacing w:line="576" w:lineRule="exact"/>
        <w:ind w:firstLineChars="200" w:firstLine="640"/>
        <w:jc w:val="both"/>
        <w:rPr>
          <w:rFonts w:ascii="仿宋_GB2312" w:eastAsia="仿宋_GB2312" w:hAnsi="宋体" w:cs="仿宋_GB2312"/>
          <w:sz w:val="32"/>
          <w:szCs w:val="32"/>
          <w:shd w:val="clear" w:color="auto" w:fill="FFFFFF"/>
        </w:rPr>
      </w:pPr>
      <w:r>
        <w:rPr>
          <w:rFonts w:ascii="仿宋_GB2312" w:eastAsia="仿宋_GB2312" w:hAnsi="楷体" w:cs="楷体" w:hint="eastAsia"/>
          <w:sz w:val="32"/>
          <w:szCs w:val="32"/>
          <w:shd w:val="clear" w:color="auto" w:fill="FFFFFF"/>
        </w:rPr>
        <w:t>3</w:t>
      </w:r>
      <w:r>
        <w:rPr>
          <w:rFonts w:ascii="仿宋_GB2312" w:eastAsia="仿宋_GB2312" w:hAnsi="楷体" w:cs="楷体" w:hint="eastAsia"/>
          <w:sz w:val="32"/>
          <w:szCs w:val="32"/>
          <w:shd w:val="clear" w:color="auto" w:fill="FFFFFF"/>
        </w:rPr>
        <w:t>、更强举措做实监督主责主业</w:t>
      </w:r>
      <w:r>
        <w:rPr>
          <w:rFonts w:ascii="仿宋_GB2312" w:eastAsia="仿宋_GB2312" w:hAnsi="楷体" w:cs="楷体" w:hint="eastAsia"/>
          <w:b/>
          <w:sz w:val="32"/>
          <w:szCs w:val="32"/>
          <w:shd w:val="clear" w:color="auto" w:fill="FFFFFF"/>
        </w:rPr>
        <w:t>。</w:t>
      </w:r>
      <w:r>
        <w:rPr>
          <w:rFonts w:ascii="仿宋_GB2312" w:eastAsia="仿宋_GB2312" w:hAnsi="仿宋_GB2312" w:cs="仿宋_GB2312" w:hint="eastAsia"/>
          <w:sz w:val="32"/>
          <w:szCs w:val="32"/>
          <w:shd w:val="clear" w:color="auto" w:fill="FFFFFF"/>
        </w:rPr>
        <w:t>持续深化法律监督机制建设，进一步完善侦查监督与协作配合办公室、民事行政检察精准监督等工作机制，维护司法公正公信。</w:t>
      </w:r>
      <w:r>
        <w:rPr>
          <w:rFonts w:ascii="仿宋_GB2312" w:eastAsia="仿宋_GB2312" w:hAnsi="宋体" w:cs="仿宋_GB2312" w:hint="eastAsia"/>
          <w:sz w:val="32"/>
          <w:szCs w:val="32"/>
          <w:shd w:val="clear" w:color="auto" w:fill="FFFFFF"/>
        </w:rPr>
        <w:t>持续关注“案</w:t>
      </w:r>
      <w:r>
        <w:rPr>
          <w:rFonts w:ascii="仿宋_GB2312" w:eastAsia="仿宋_GB2312" w:hAnsi="宋体" w:cs="仿宋_GB2312" w:hint="eastAsia"/>
          <w:sz w:val="32"/>
          <w:szCs w:val="32"/>
          <w:shd w:val="clear" w:color="auto" w:fill="FFFFFF"/>
        </w:rPr>
        <w:t>-</w:t>
      </w:r>
      <w:r>
        <w:rPr>
          <w:rFonts w:ascii="仿宋_GB2312" w:eastAsia="仿宋_GB2312" w:hAnsi="宋体" w:cs="仿宋_GB2312" w:hint="eastAsia"/>
          <w:sz w:val="32"/>
          <w:szCs w:val="32"/>
          <w:shd w:val="clear" w:color="auto" w:fill="FFFFFF"/>
        </w:rPr>
        <w:t>件比”，推进落实认罪认罚从宽制度，注重办案质效与监督刚性，提升刑事检察工作效能。持续开展生态环境、食品药品安全、生产安全等领域公益诉讼专项监督，加大对民生领域公共利益的办理力度。深化数字检察战略，用好政法系统跨部门办案平台，强化检察业务办案与检察技术工作的融合，以“智慧监督”促进惩治犯罪、诉源治理。</w:t>
      </w:r>
    </w:p>
    <w:p w:rsidR="00715D0F" w:rsidRDefault="00A941E1">
      <w:pPr>
        <w:pStyle w:val="a6"/>
        <w:spacing w:line="576" w:lineRule="exact"/>
        <w:ind w:firstLineChars="200" w:firstLine="640"/>
        <w:jc w:val="both"/>
        <w:rPr>
          <w:rFonts w:ascii="仿宋_GB2312" w:eastAsia="仿宋_GB2312" w:hAnsi="仿宋_GB2312" w:cs="仿宋_GB2312"/>
          <w:sz w:val="32"/>
          <w:szCs w:val="32"/>
        </w:rPr>
      </w:pPr>
      <w:r>
        <w:rPr>
          <w:rFonts w:ascii="仿宋_GB2312" w:eastAsia="仿宋_GB2312" w:hAnsi="楷体" w:cs="楷体" w:hint="eastAsia"/>
          <w:sz w:val="32"/>
          <w:szCs w:val="32"/>
          <w:shd w:val="clear" w:color="auto" w:fill="FFFFFF"/>
        </w:rPr>
        <w:lastRenderedPageBreak/>
        <w:t>4</w:t>
      </w:r>
      <w:r>
        <w:rPr>
          <w:rFonts w:ascii="仿宋_GB2312" w:eastAsia="仿宋_GB2312" w:hAnsi="楷体" w:cs="楷体" w:hint="eastAsia"/>
          <w:sz w:val="32"/>
          <w:szCs w:val="32"/>
          <w:shd w:val="clear" w:color="auto" w:fill="FFFFFF"/>
        </w:rPr>
        <w:t>、更大力度打造特色亮点工作</w:t>
      </w:r>
      <w:r>
        <w:rPr>
          <w:rFonts w:ascii="仿宋_GB2312" w:eastAsia="仿宋_GB2312" w:hAnsi="楷体" w:cs="楷体" w:hint="eastAsia"/>
          <w:b/>
          <w:sz w:val="32"/>
          <w:szCs w:val="32"/>
          <w:shd w:val="clear" w:color="auto" w:fill="FFFFFF"/>
        </w:rPr>
        <w:t>。</w:t>
      </w:r>
      <w:r>
        <w:rPr>
          <w:rFonts w:ascii="仿宋_GB2312" w:eastAsia="仿宋_GB2312" w:hAnsi="仿宋_GB2312" w:cs="仿宋_GB2312" w:hint="eastAsia"/>
          <w:sz w:val="32"/>
          <w:szCs w:val="32"/>
        </w:rPr>
        <w:t>紧扣“五强”基层院建设要求，按照“政治引领强、司法办案强、服务大局强、班子队伍强、检务保障强”的更高标准推进工作，深入开展“一院一品”活动，持续打造“曌亮未来”“蜀道</w:t>
      </w:r>
      <w:r>
        <w:rPr>
          <w:rFonts w:ascii="仿宋_GB2312" w:eastAsia="仿宋_GB2312" w:hAnsi="仿宋_GB2312" w:cs="仿宋_GB2312" w:hint="eastAsia"/>
          <w:sz w:val="32"/>
          <w:szCs w:val="32"/>
        </w:rPr>
        <w:t>益行·曌蔚蓝”两个特色亮点工作。通过抓品牌、创特色、出亮点，以点带面推动全院整体工作上档进位。</w:t>
      </w:r>
    </w:p>
    <w:p w:rsidR="00715D0F" w:rsidRDefault="00A941E1">
      <w:pPr>
        <w:pStyle w:val="a5"/>
        <w:pBdr>
          <w:top w:val="none" w:sz="0" w:space="1" w:color="auto"/>
          <w:left w:val="none" w:sz="0" w:space="4" w:color="auto"/>
          <w:bottom w:val="none" w:sz="0" w:space="1" w:color="auto"/>
          <w:right w:val="none" w:sz="0" w:space="4" w:color="auto"/>
        </w:pBdr>
        <w:shd w:val="clear" w:color="auto" w:fill="FFFFFF" w:themeFill="background1"/>
        <w:spacing w:line="576" w:lineRule="exact"/>
        <w:ind w:leftChars="0" w:left="0" w:firstLineChars="200" w:firstLine="640"/>
        <w:rPr>
          <w:rFonts w:ascii="楷体_GB2312" w:eastAsia="楷体_GB2312" w:hAnsi="楷体_GB2312" w:cs="楷体_GB2312"/>
          <w:sz w:val="32"/>
          <w:szCs w:val="32"/>
        </w:rPr>
      </w:pPr>
      <w:r>
        <w:rPr>
          <w:rFonts w:ascii="仿宋_GB2312" w:eastAsia="仿宋_GB2312" w:hAnsi="楷体" w:cs="楷体" w:hint="eastAsia"/>
          <w:sz w:val="32"/>
          <w:szCs w:val="32"/>
          <w:shd w:val="clear" w:color="auto" w:fill="FFFFFF"/>
        </w:rPr>
        <w:t>5</w:t>
      </w:r>
      <w:r>
        <w:rPr>
          <w:rFonts w:ascii="仿宋_GB2312" w:eastAsia="仿宋_GB2312" w:hAnsi="楷体" w:cs="楷体" w:hint="eastAsia"/>
          <w:sz w:val="32"/>
          <w:szCs w:val="32"/>
          <w:shd w:val="clear" w:color="auto" w:fill="FFFFFF"/>
        </w:rPr>
        <w:t>、更严标准加强过硬队伍建设</w:t>
      </w:r>
      <w:r>
        <w:rPr>
          <w:rFonts w:ascii="仿宋_GB2312" w:eastAsia="仿宋_GB2312" w:hAnsi="楷体" w:cs="楷体" w:hint="eastAsia"/>
          <w:b/>
          <w:sz w:val="32"/>
          <w:szCs w:val="32"/>
          <w:shd w:val="clear" w:color="auto" w:fill="FFFFFF"/>
        </w:rPr>
        <w:t>。</w:t>
      </w:r>
      <w:r>
        <w:rPr>
          <w:rFonts w:ascii="仿宋_GB2312" w:eastAsia="仿宋_GB2312" w:hAnsi="仿宋_GB2312" w:cs="仿宋_GB2312" w:hint="eastAsia"/>
          <w:sz w:val="32"/>
          <w:szCs w:val="32"/>
        </w:rPr>
        <w:t>坚持全面从严治检，健全业绩考评体系，完善奖惩机制，树立鲜明用人导向。持续抓实“关键少数”，切实发挥好引领、示范、带动作用；以加强和改进作风建设为抓手，以提升履职担当能力为重点，通过“砺检课堂”、案例研讨等平台，坚持“线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线下”“授课</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实践”等方式常态化开展岗位练兵、业务竞赛、法律文书评比等实战化检察素能培训，全面提升干警整体素质，为检察事业科学发展提供有力组织保障。</w:t>
      </w:r>
    </w:p>
    <w:p w:rsidR="00715D0F" w:rsidRDefault="00A941E1">
      <w:pPr>
        <w:pBdr>
          <w:top w:val="none" w:sz="0" w:space="1" w:color="auto"/>
          <w:left w:val="none" w:sz="0" w:space="4" w:color="auto"/>
          <w:bottom w:val="none" w:sz="0" w:space="1" w:color="auto"/>
          <w:right w:val="none" w:sz="0" w:space="4" w:color="auto"/>
        </w:pBdr>
        <w:shd w:val="clear" w:color="auto" w:fill="FFFFFF" w:themeFill="background1"/>
        <w:spacing w:line="576" w:lineRule="exact"/>
        <w:ind w:firstLineChars="200" w:firstLine="640"/>
        <w:outlineLvl w:val="0"/>
        <w:rPr>
          <w:rFonts w:ascii="黑体" w:eastAsia="黑体" w:hAnsi="黑体" w:cs="黑体"/>
          <w:sz w:val="32"/>
          <w:szCs w:val="32"/>
        </w:rPr>
      </w:pPr>
      <w:bookmarkStart w:id="3" w:name="_Toc1321164667"/>
      <w:r>
        <w:rPr>
          <w:rFonts w:ascii="黑体" w:eastAsia="黑体" w:hAnsi="黑体" w:cs="黑体" w:hint="eastAsia"/>
          <w:sz w:val="32"/>
          <w:szCs w:val="32"/>
        </w:rPr>
        <w:t>二、部门预算单位构成</w:t>
      </w:r>
      <w:bookmarkEnd w:id="3"/>
    </w:p>
    <w:p w:rsidR="00715D0F" w:rsidRDefault="00A941E1">
      <w:pPr>
        <w:widowControl/>
        <w:pBdr>
          <w:top w:val="none" w:sz="0" w:space="1" w:color="auto"/>
          <w:left w:val="none" w:sz="0" w:space="4" w:color="auto"/>
          <w:bottom w:val="none" w:sz="0" w:space="1" w:color="auto"/>
          <w:right w:val="none" w:sz="0" w:space="4" w:color="auto"/>
        </w:pBdr>
        <w:shd w:val="clear" w:color="auto" w:fill="FFFFFF" w:themeFill="background1"/>
        <w:spacing w:line="580" w:lineRule="atLeast"/>
        <w:ind w:firstLineChars="200" w:firstLine="640"/>
        <w:rPr>
          <w:rFonts w:ascii="仿宋_GB2312" w:eastAsia="仿宋_GB2312" w:hAnsi="宋体" w:cs="宋体"/>
          <w:kern w:val="0"/>
          <w:sz w:val="32"/>
          <w:szCs w:val="32"/>
          <w:shd w:val="clear" w:color="auto" w:fill="FFFFFF"/>
        </w:rPr>
      </w:pPr>
      <w:r>
        <w:rPr>
          <w:rFonts w:ascii="仿宋_GB2312" w:eastAsia="仿宋_GB2312" w:hAnsi="宋体" w:cs="宋体" w:hint="eastAsia"/>
          <w:bCs/>
          <w:color w:val="333333"/>
          <w:sz w:val="32"/>
          <w:szCs w:val="32"/>
          <w:shd w:val="clear" w:color="auto" w:fill="FFFFFF"/>
        </w:rPr>
        <w:t>广元市利州区人民检察院是一级预算单位，</w:t>
      </w:r>
      <w:r>
        <w:rPr>
          <w:rFonts w:ascii="仿宋_GB2312" w:eastAsia="仿宋_GB2312" w:hAnsi="宋体" w:cs="宋体" w:hint="eastAsia"/>
          <w:bCs/>
          <w:sz w:val="32"/>
          <w:szCs w:val="32"/>
          <w:shd w:val="clear" w:color="auto" w:fill="FFFFFF"/>
        </w:rPr>
        <w:t>无</w:t>
      </w:r>
      <w:r>
        <w:rPr>
          <w:rFonts w:ascii="仿宋_GB2312" w:eastAsia="仿宋_GB2312" w:hAnsi="宋体" w:cs="宋体" w:hint="eastAsia"/>
          <w:kern w:val="0"/>
          <w:sz w:val="32"/>
          <w:szCs w:val="32"/>
          <w:shd w:val="clear" w:color="auto" w:fill="FFFFFF"/>
        </w:rPr>
        <w:t>下属二级预算单位。</w:t>
      </w:r>
    </w:p>
    <w:p w:rsidR="00715D0F" w:rsidRDefault="00A941E1">
      <w:pPr>
        <w:pBdr>
          <w:top w:val="none" w:sz="0" w:space="1" w:color="auto"/>
          <w:left w:val="none" w:sz="0" w:space="4" w:color="auto"/>
          <w:bottom w:val="none" w:sz="0" w:space="1" w:color="auto"/>
          <w:right w:val="none" w:sz="0" w:space="4" w:color="auto"/>
        </w:pBdr>
        <w:shd w:val="clear" w:color="auto" w:fill="FFFFFF" w:themeFill="background1"/>
        <w:spacing w:line="576" w:lineRule="exact"/>
        <w:ind w:firstLineChars="200" w:firstLine="640"/>
        <w:outlineLvl w:val="0"/>
        <w:rPr>
          <w:rFonts w:ascii="黑体" w:eastAsia="黑体" w:hAnsi="黑体" w:cs="黑体"/>
          <w:sz w:val="32"/>
          <w:szCs w:val="32"/>
        </w:rPr>
      </w:pPr>
      <w:bookmarkStart w:id="4" w:name="_Toc119578486"/>
      <w:r>
        <w:rPr>
          <w:rFonts w:ascii="黑体" w:eastAsia="黑体" w:hAnsi="黑体" w:cs="黑体" w:hint="eastAsia"/>
          <w:sz w:val="32"/>
          <w:szCs w:val="32"/>
        </w:rPr>
        <w:t>三、收支预算情况说明</w:t>
      </w:r>
      <w:bookmarkEnd w:id="4"/>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按照综合预算的原则，广元市</w:t>
      </w:r>
      <w:r>
        <w:rPr>
          <w:rFonts w:ascii="仿宋_GB2312" w:eastAsia="仿宋_GB2312" w:hAnsi="宋体" w:cs="宋体" w:hint="eastAsia"/>
          <w:bCs/>
          <w:color w:val="333333"/>
          <w:sz w:val="32"/>
          <w:szCs w:val="32"/>
          <w:shd w:val="clear" w:color="auto" w:fill="FFFFFF"/>
        </w:rPr>
        <w:t>利州区人民检察院</w:t>
      </w:r>
      <w:r>
        <w:rPr>
          <w:rFonts w:ascii="仿宋_GB2312" w:eastAsia="仿宋_GB2312" w:hAnsi="仿宋_GB2312" w:cs="仿宋_GB2312" w:hint="eastAsia"/>
          <w:sz w:val="32"/>
          <w:szCs w:val="32"/>
        </w:rPr>
        <w:t>所有收入和支出均纳入部门预算管理。收入包括：一般公共预算拨款收入；支出包括</w:t>
      </w:r>
      <w:r>
        <w:rPr>
          <w:rFonts w:ascii="仿宋_GB2312" w:eastAsia="仿宋_GB2312" w:hAnsi="仿宋_GB2312" w:cs="仿宋_GB2312" w:hint="eastAsia"/>
          <w:sz w:val="32"/>
          <w:szCs w:val="32"/>
        </w:rPr>
        <w:t>:</w:t>
      </w:r>
      <w:r>
        <w:rPr>
          <w:rFonts w:ascii="仿宋_GB2312" w:eastAsia="仿宋_GB2312" w:hAnsi="宋体" w:cs="宋体" w:hint="eastAsia"/>
          <w:color w:val="333333"/>
          <w:kern w:val="0"/>
          <w:sz w:val="32"/>
          <w:szCs w:val="32"/>
          <w:shd w:val="clear" w:color="auto" w:fill="FFFFFF"/>
        </w:rPr>
        <w:t>公共安全支出、社会保障和就业支出、卫生健康支出、</w:t>
      </w:r>
      <w:r>
        <w:rPr>
          <w:rFonts w:ascii="仿宋_GB2312" w:eastAsia="仿宋_GB2312" w:hAnsi="宋体" w:cs="宋体" w:hint="eastAsia"/>
          <w:color w:val="333333"/>
          <w:kern w:val="0"/>
          <w:sz w:val="32"/>
          <w:szCs w:val="32"/>
          <w:shd w:val="clear" w:color="auto" w:fill="FFFFFF"/>
        </w:rPr>
        <w:lastRenderedPageBreak/>
        <w:t>住房保障支出</w:t>
      </w:r>
      <w:r>
        <w:rPr>
          <w:rFonts w:ascii="仿宋_GB2312" w:eastAsia="仿宋_GB2312" w:hAnsi="仿宋_GB2312" w:cs="仿宋_GB2312" w:hint="eastAsia"/>
          <w:sz w:val="32"/>
          <w:szCs w:val="32"/>
        </w:rPr>
        <w:t>。广元市</w:t>
      </w:r>
      <w:r>
        <w:rPr>
          <w:rFonts w:ascii="仿宋_GB2312" w:eastAsia="仿宋_GB2312" w:hAnsi="宋体" w:cs="宋体" w:hint="eastAsia"/>
          <w:bCs/>
          <w:color w:val="333333"/>
          <w:sz w:val="32"/>
          <w:szCs w:val="32"/>
          <w:shd w:val="clear" w:color="auto" w:fill="FFFFFF"/>
        </w:rPr>
        <w:t>利州区人民检察院</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年收支预算总数</w:t>
      </w:r>
      <w:r>
        <w:rPr>
          <w:rFonts w:ascii="仿宋_GB2312" w:eastAsia="仿宋_GB2312" w:hAnsi="仿宋_GB2312" w:cs="仿宋_GB2312" w:hint="eastAsia"/>
          <w:sz w:val="32"/>
          <w:szCs w:val="32"/>
        </w:rPr>
        <w:t>1355.04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比</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年收支预算总数增加</w:t>
      </w:r>
      <w:r>
        <w:rPr>
          <w:rFonts w:ascii="仿宋_GB2312" w:eastAsia="仿宋_GB2312" w:hAnsi="仿宋_GB2312" w:cs="仿宋_GB2312" w:hint="eastAsia"/>
          <w:sz w:val="32"/>
          <w:szCs w:val="32"/>
        </w:rPr>
        <w:t>16.56</w:t>
      </w:r>
      <w:r>
        <w:rPr>
          <w:rFonts w:ascii="仿宋_GB2312" w:eastAsia="仿宋_GB2312" w:hAnsi="仿宋_GB2312" w:cs="仿宋_GB2312" w:hint="eastAsia"/>
          <w:sz w:val="32"/>
          <w:szCs w:val="32"/>
        </w:rPr>
        <w:t>万元，主要原因是政策性调整人员变化及法检两院财物统管改革上划基数发生变化。</w:t>
      </w:r>
    </w:p>
    <w:p w:rsidR="00715D0F" w:rsidRDefault="00A941E1">
      <w:pPr>
        <w:spacing w:line="576" w:lineRule="exact"/>
        <w:ind w:firstLineChars="200" w:firstLine="640"/>
        <w:outlineLvl w:val="1"/>
        <w:rPr>
          <w:rFonts w:ascii="楷体_GB2312" w:eastAsia="楷体_GB2312" w:hAnsi="楷体_GB2312" w:cs="楷体_GB2312"/>
          <w:sz w:val="32"/>
          <w:szCs w:val="32"/>
        </w:rPr>
      </w:pPr>
      <w:bookmarkStart w:id="5" w:name="_Toc364692079"/>
      <w:r>
        <w:rPr>
          <w:rFonts w:ascii="楷体_GB2312" w:eastAsia="楷体_GB2312" w:hAnsi="楷体_GB2312" w:cs="楷体_GB2312" w:hint="eastAsia"/>
          <w:sz w:val="32"/>
          <w:szCs w:val="32"/>
        </w:rPr>
        <w:t>（一）收入预算情况</w:t>
      </w:r>
      <w:bookmarkEnd w:id="5"/>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w:t>
      </w:r>
      <w:r>
        <w:rPr>
          <w:rFonts w:ascii="仿宋_GB2312" w:eastAsia="仿宋_GB2312" w:hAnsi="宋体" w:cs="宋体" w:hint="eastAsia"/>
          <w:bCs/>
          <w:color w:val="333333"/>
          <w:sz w:val="32"/>
          <w:szCs w:val="32"/>
          <w:shd w:val="clear" w:color="auto" w:fill="FFFFFF"/>
        </w:rPr>
        <w:t>利州区人民检察院</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年收入预算</w:t>
      </w:r>
      <w:r>
        <w:rPr>
          <w:rFonts w:ascii="仿宋_GB2312" w:eastAsia="仿宋_GB2312" w:hAnsi="仿宋_GB2312" w:cs="仿宋_GB2312" w:hint="eastAsia"/>
          <w:sz w:val="32"/>
          <w:szCs w:val="32"/>
        </w:rPr>
        <w:t>1355.04</w:t>
      </w:r>
      <w:r>
        <w:rPr>
          <w:rFonts w:ascii="仿宋_GB2312" w:eastAsia="仿宋_GB2312" w:hAnsi="仿宋_GB2312" w:cs="仿宋_GB2312" w:hint="eastAsia"/>
          <w:sz w:val="32"/>
          <w:szCs w:val="32"/>
        </w:rPr>
        <w:t>万元，其中：一般公共预算拨款收入</w:t>
      </w:r>
      <w:r>
        <w:rPr>
          <w:rFonts w:ascii="仿宋_GB2312" w:eastAsia="仿宋_GB2312" w:hAnsi="仿宋_GB2312" w:cs="仿宋_GB2312" w:hint="eastAsia"/>
          <w:sz w:val="32"/>
          <w:szCs w:val="32"/>
        </w:rPr>
        <w:t>1355.04</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w:t>
      </w:r>
    </w:p>
    <w:p w:rsidR="00715D0F" w:rsidRDefault="00A941E1">
      <w:pPr>
        <w:spacing w:line="576" w:lineRule="exact"/>
        <w:ind w:firstLineChars="200" w:firstLine="640"/>
        <w:outlineLvl w:val="1"/>
        <w:rPr>
          <w:rFonts w:ascii="楷体_GB2312" w:eastAsia="楷体_GB2312" w:hAnsi="楷体_GB2312" w:cs="楷体_GB2312"/>
          <w:sz w:val="32"/>
          <w:szCs w:val="32"/>
        </w:rPr>
      </w:pPr>
      <w:bookmarkStart w:id="6" w:name="_Toc1037959539"/>
      <w:r>
        <w:rPr>
          <w:rFonts w:ascii="楷体_GB2312" w:eastAsia="楷体_GB2312" w:hAnsi="楷体_GB2312" w:cs="楷体_GB2312" w:hint="eastAsia"/>
          <w:sz w:val="32"/>
          <w:szCs w:val="32"/>
        </w:rPr>
        <w:t>（二）支出预算情况</w:t>
      </w:r>
      <w:bookmarkEnd w:id="6"/>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w:t>
      </w:r>
      <w:r>
        <w:rPr>
          <w:rFonts w:ascii="仿宋_GB2312" w:eastAsia="仿宋_GB2312" w:hAnsi="宋体" w:cs="宋体" w:hint="eastAsia"/>
          <w:bCs/>
          <w:color w:val="333333"/>
          <w:sz w:val="32"/>
          <w:szCs w:val="32"/>
          <w:shd w:val="clear" w:color="auto" w:fill="FFFFFF"/>
        </w:rPr>
        <w:t>利州区人民检察院</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年支出预算</w:t>
      </w:r>
      <w:r>
        <w:rPr>
          <w:rFonts w:ascii="仿宋_GB2312" w:eastAsia="仿宋_GB2312" w:hAnsi="仿宋_GB2312" w:cs="仿宋_GB2312" w:hint="eastAsia"/>
          <w:sz w:val="32"/>
          <w:szCs w:val="32"/>
        </w:rPr>
        <w:t>1355.04</w:t>
      </w:r>
      <w:r>
        <w:rPr>
          <w:rFonts w:ascii="仿宋_GB2312" w:eastAsia="仿宋_GB2312" w:hAnsi="仿宋_GB2312" w:cs="仿宋_GB2312" w:hint="eastAsia"/>
          <w:sz w:val="32"/>
          <w:szCs w:val="32"/>
        </w:rPr>
        <w:t>万元，其中：基本支出</w:t>
      </w:r>
      <w:r>
        <w:rPr>
          <w:rFonts w:ascii="仿宋_GB2312" w:eastAsia="仿宋_GB2312" w:hAnsi="仿宋_GB2312" w:cs="仿宋_GB2312" w:hint="eastAsia"/>
          <w:sz w:val="32"/>
          <w:szCs w:val="32"/>
        </w:rPr>
        <w:t>1147.98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84.72%</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207.06</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15.28%</w:t>
      </w:r>
      <w:r>
        <w:rPr>
          <w:rFonts w:ascii="仿宋_GB2312" w:eastAsia="仿宋_GB2312" w:hAnsi="仿宋_GB2312" w:cs="仿宋_GB2312" w:hint="eastAsia"/>
          <w:sz w:val="32"/>
          <w:szCs w:val="32"/>
        </w:rPr>
        <w:t>。</w:t>
      </w:r>
    </w:p>
    <w:p w:rsidR="00715D0F" w:rsidRDefault="00A941E1">
      <w:pPr>
        <w:spacing w:line="576" w:lineRule="exact"/>
        <w:ind w:firstLineChars="200" w:firstLine="640"/>
        <w:outlineLvl w:val="0"/>
        <w:rPr>
          <w:rFonts w:ascii="黑体" w:eastAsia="黑体" w:hAnsi="黑体" w:cs="黑体"/>
          <w:sz w:val="32"/>
          <w:szCs w:val="32"/>
        </w:rPr>
      </w:pPr>
      <w:bookmarkStart w:id="7" w:name="_Toc2094944235"/>
      <w:r>
        <w:rPr>
          <w:rFonts w:ascii="黑体" w:eastAsia="黑体" w:hAnsi="黑体" w:cs="黑体" w:hint="eastAsia"/>
          <w:sz w:val="32"/>
          <w:szCs w:val="32"/>
        </w:rPr>
        <w:t>四、财政拨款收支预算情况说明</w:t>
      </w:r>
      <w:bookmarkEnd w:id="7"/>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w:t>
      </w:r>
      <w:r>
        <w:rPr>
          <w:rFonts w:ascii="仿宋_GB2312" w:eastAsia="仿宋_GB2312" w:hAnsi="宋体" w:cs="宋体" w:hint="eastAsia"/>
          <w:bCs/>
          <w:color w:val="333333"/>
          <w:sz w:val="32"/>
          <w:szCs w:val="32"/>
          <w:shd w:val="clear" w:color="auto" w:fill="FFFFFF"/>
        </w:rPr>
        <w:t>利州区人民检察院</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年财政拨款收支预算总数</w:t>
      </w:r>
      <w:r>
        <w:rPr>
          <w:rFonts w:ascii="仿宋_GB2312" w:eastAsia="仿宋_GB2312" w:hAnsi="仿宋_GB2312" w:cs="仿宋_GB2312" w:hint="eastAsia"/>
          <w:sz w:val="32"/>
          <w:szCs w:val="32"/>
        </w:rPr>
        <w:t>1355.04</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比</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年财政拨款收支预算总数增加</w:t>
      </w:r>
      <w:r>
        <w:rPr>
          <w:rFonts w:ascii="仿宋_GB2312" w:eastAsia="仿宋_GB2312" w:hAnsi="仿宋_GB2312" w:cs="仿宋_GB2312" w:hint="eastAsia"/>
          <w:sz w:val="32"/>
          <w:szCs w:val="32"/>
        </w:rPr>
        <w:t>16.56</w:t>
      </w:r>
      <w:r>
        <w:rPr>
          <w:rFonts w:ascii="仿宋_GB2312" w:eastAsia="仿宋_GB2312" w:hAnsi="仿宋_GB2312" w:cs="仿宋_GB2312" w:hint="eastAsia"/>
          <w:sz w:val="32"/>
          <w:szCs w:val="32"/>
        </w:rPr>
        <w:t>万元，主要原因是政策性调整人员变化及法检两院财物统管改革上划基数发生变化。</w:t>
      </w:r>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收入包括：本年一般公共预算拨款收入</w:t>
      </w:r>
      <w:r>
        <w:rPr>
          <w:rFonts w:ascii="仿宋_GB2312" w:eastAsia="仿宋_GB2312" w:hAnsi="仿宋_GB2312" w:cs="仿宋_GB2312" w:hint="eastAsia"/>
          <w:sz w:val="32"/>
          <w:szCs w:val="32"/>
        </w:rPr>
        <w:t>1355.04</w:t>
      </w:r>
      <w:r>
        <w:rPr>
          <w:rFonts w:ascii="仿宋_GB2312" w:eastAsia="仿宋_GB2312" w:hAnsi="仿宋_GB2312" w:cs="仿宋_GB2312" w:hint="eastAsia"/>
          <w:sz w:val="32"/>
          <w:szCs w:val="32"/>
        </w:rPr>
        <w:t>万元；支出包括：公共安全支出</w:t>
      </w:r>
      <w:r>
        <w:rPr>
          <w:rFonts w:ascii="仿宋_GB2312" w:eastAsia="仿宋_GB2312" w:hAnsi="仿宋_GB2312" w:cs="仿宋_GB2312" w:hint="eastAsia"/>
          <w:sz w:val="32"/>
          <w:szCs w:val="32"/>
        </w:rPr>
        <w:t>1155.13</w:t>
      </w:r>
      <w:r>
        <w:rPr>
          <w:rFonts w:ascii="仿宋_GB2312" w:eastAsia="仿宋_GB2312" w:hAnsi="仿宋_GB2312" w:cs="仿宋_GB2312" w:hint="eastAsia"/>
          <w:sz w:val="32"/>
          <w:szCs w:val="32"/>
        </w:rPr>
        <w:t>万元、社会保障和就业支出</w:t>
      </w:r>
      <w:r>
        <w:rPr>
          <w:rFonts w:ascii="仿宋_GB2312" w:eastAsia="仿宋_GB2312" w:hAnsi="仿宋_GB2312" w:cs="仿宋_GB2312" w:hint="eastAsia"/>
          <w:sz w:val="32"/>
          <w:szCs w:val="32"/>
        </w:rPr>
        <w:t>87.91</w:t>
      </w:r>
      <w:r>
        <w:rPr>
          <w:rFonts w:ascii="仿宋_GB2312" w:eastAsia="仿宋_GB2312" w:hAnsi="仿宋_GB2312" w:cs="仿宋_GB2312" w:hint="eastAsia"/>
          <w:sz w:val="32"/>
          <w:szCs w:val="32"/>
        </w:rPr>
        <w:t>万元、卫生健康支出</w:t>
      </w:r>
      <w:r>
        <w:rPr>
          <w:rFonts w:ascii="仿宋_GB2312" w:eastAsia="仿宋_GB2312" w:hAnsi="仿宋_GB2312" w:cs="仿宋_GB2312" w:hint="eastAsia"/>
          <w:sz w:val="32"/>
          <w:szCs w:val="32"/>
        </w:rPr>
        <w:t>41.08</w:t>
      </w:r>
      <w:r>
        <w:rPr>
          <w:rFonts w:ascii="仿宋_GB2312" w:eastAsia="仿宋_GB2312" w:hAnsi="仿宋_GB2312" w:cs="仿宋_GB2312" w:hint="eastAsia"/>
          <w:sz w:val="32"/>
          <w:szCs w:val="32"/>
        </w:rPr>
        <w:t>万元、住房保障支出</w:t>
      </w:r>
      <w:r>
        <w:rPr>
          <w:rFonts w:ascii="仿宋_GB2312" w:eastAsia="仿宋_GB2312" w:hAnsi="仿宋_GB2312" w:cs="仿宋_GB2312" w:hint="eastAsia"/>
          <w:sz w:val="32"/>
          <w:szCs w:val="32"/>
        </w:rPr>
        <w:t>70.93</w:t>
      </w:r>
      <w:r>
        <w:rPr>
          <w:rFonts w:ascii="仿宋_GB2312" w:eastAsia="仿宋_GB2312" w:hAnsi="仿宋_GB2312" w:cs="仿宋_GB2312" w:hint="eastAsia"/>
          <w:sz w:val="32"/>
          <w:szCs w:val="32"/>
        </w:rPr>
        <w:t>万元。</w:t>
      </w:r>
    </w:p>
    <w:p w:rsidR="00715D0F" w:rsidRDefault="00A941E1">
      <w:pPr>
        <w:spacing w:line="576" w:lineRule="exact"/>
        <w:ind w:firstLineChars="200" w:firstLine="640"/>
        <w:outlineLvl w:val="0"/>
        <w:rPr>
          <w:rFonts w:ascii="黑体" w:eastAsia="黑体" w:hAnsi="黑体" w:cs="黑体"/>
          <w:sz w:val="32"/>
          <w:szCs w:val="32"/>
        </w:rPr>
      </w:pPr>
      <w:bookmarkStart w:id="8" w:name="_Toc1580637565"/>
      <w:r>
        <w:rPr>
          <w:rFonts w:ascii="黑体" w:eastAsia="黑体" w:hAnsi="黑体" w:cs="黑体" w:hint="eastAsia"/>
          <w:sz w:val="32"/>
          <w:szCs w:val="32"/>
        </w:rPr>
        <w:t>五、一般公共预算当年拨款情况说明</w:t>
      </w:r>
      <w:bookmarkEnd w:id="8"/>
    </w:p>
    <w:p w:rsidR="00715D0F" w:rsidRDefault="00A941E1">
      <w:pPr>
        <w:spacing w:line="576" w:lineRule="exact"/>
        <w:ind w:firstLineChars="200" w:firstLine="640"/>
        <w:outlineLvl w:val="1"/>
        <w:rPr>
          <w:rFonts w:ascii="楷体_GB2312" w:eastAsia="楷体_GB2312" w:hAnsi="楷体_GB2312" w:cs="楷体_GB2312"/>
          <w:sz w:val="32"/>
          <w:szCs w:val="32"/>
        </w:rPr>
      </w:pPr>
      <w:bookmarkStart w:id="9" w:name="_Toc1541516346"/>
      <w:r>
        <w:rPr>
          <w:rFonts w:ascii="楷体_GB2312" w:eastAsia="楷体_GB2312" w:hAnsi="楷体_GB2312" w:cs="楷体_GB2312" w:hint="eastAsia"/>
          <w:sz w:val="32"/>
          <w:szCs w:val="32"/>
        </w:rPr>
        <w:t>（一）一般公共预算当年拨款规模变化情况</w:t>
      </w:r>
      <w:bookmarkEnd w:id="9"/>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w:t>
      </w:r>
      <w:r>
        <w:rPr>
          <w:rFonts w:ascii="仿宋_GB2312" w:eastAsia="仿宋_GB2312" w:hAnsi="宋体" w:cs="宋体" w:hint="eastAsia"/>
          <w:bCs/>
          <w:color w:val="333333"/>
          <w:sz w:val="32"/>
          <w:szCs w:val="32"/>
          <w:shd w:val="clear" w:color="auto" w:fill="FFFFFF"/>
        </w:rPr>
        <w:t>利州区人民检察院</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年一般公共预算当年拨款</w:t>
      </w:r>
      <w:r>
        <w:rPr>
          <w:rFonts w:ascii="仿宋_GB2312" w:eastAsia="仿宋_GB2312" w:hAnsi="仿宋_GB2312" w:cs="仿宋_GB2312" w:hint="eastAsia"/>
          <w:sz w:val="32"/>
          <w:szCs w:val="32"/>
        </w:rPr>
        <w:lastRenderedPageBreak/>
        <w:t>1355.04</w:t>
      </w:r>
      <w:r>
        <w:rPr>
          <w:rFonts w:ascii="仿宋_GB2312" w:eastAsia="仿宋_GB2312" w:hAnsi="仿宋_GB2312" w:cs="仿宋_GB2312" w:hint="eastAsia"/>
          <w:sz w:val="32"/>
          <w:szCs w:val="32"/>
        </w:rPr>
        <w:t>万元，比</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年预算数增加</w:t>
      </w:r>
      <w:r>
        <w:rPr>
          <w:rFonts w:ascii="仿宋_GB2312" w:eastAsia="仿宋_GB2312" w:hAnsi="仿宋_GB2312" w:cs="仿宋_GB2312" w:hint="eastAsia"/>
          <w:sz w:val="32"/>
          <w:szCs w:val="32"/>
        </w:rPr>
        <w:t>16.56</w:t>
      </w:r>
      <w:r>
        <w:rPr>
          <w:rFonts w:ascii="仿宋_GB2312" w:eastAsia="仿宋_GB2312" w:hAnsi="仿宋_GB2312" w:cs="仿宋_GB2312" w:hint="eastAsia"/>
          <w:sz w:val="32"/>
          <w:szCs w:val="32"/>
        </w:rPr>
        <w:t>万元，主要原因是政策性调整人员变化及法检两院财物统管改革上划基数发生变化。</w:t>
      </w:r>
    </w:p>
    <w:p w:rsidR="00715D0F" w:rsidRDefault="00A941E1">
      <w:pPr>
        <w:spacing w:line="576" w:lineRule="exact"/>
        <w:ind w:firstLineChars="200" w:firstLine="640"/>
        <w:outlineLvl w:val="1"/>
        <w:rPr>
          <w:rFonts w:ascii="楷体_GB2312" w:eastAsia="楷体_GB2312" w:hAnsi="楷体_GB2312" w:cs="楷体_GB2312"/>
          <w:sz w:val="32"/>
          <w:szCs w:val="32"/>
        </w:rPr>
      </w:pPr>
      <w:bookmarkStart w:id="10" w:name="_Toc1822333568"/>
      <w:r>
        <w:rPr>
          <w:rFonts w:ascii="楷体_GB2312" w:eastAsia="楷体_GB2312" w:hAnsi="楷体_GB2312" w:cs="楷体_GB2312" w:hint="eastAsia"/>
          <w:sz w:val="32"/>
          <w:szCs w:val="32"/>
        </w:rPr>
        <w:t>（二）一般公共预算当年拨款结构情况</w:t>
      </w:r>
      <w:bookmarkEnd w:id="10"/>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公共安全支出</w:t>
      </w:r>
      <w:r>
        <w:rPr>
          <w:rFonts w:ascii="仿宋_GB2312" w:eastAsia="仿宋_GB2312" w:hAnsi="仿宋_GB2312" w:cs="仿宋_GB2312" w:hint="eastAsia"/>
          <w:sz w:val="32"/>
          <w:szCs w:val="32"/>
        </w:rPr>
        <w:t>1155.13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85.25%</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rPr>
        <w:t>87.91</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6.49%</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rPr>
        <w:t>41.08</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3.03%</w:t>
      </w:r>
      <w:r>
        <w:rPr>
          <w:rFonts w:ascii="仿宋_GB2312" w:eastAsia="仿宋_GB2312" w:hAnsi="仿宋_GB2312" w:cs="仿宋_GB2312" w:hint="eastAsia"/>
          <w:sz w:val="32"/>
          <w:szCs w:val="32"/>
        </w:rPr>
        <w:t>；住房保障支出</w:t>
      </w:r>
      <w:r>
        <w:rPr>
          <w:rFonts w:ascii="仿宋_GB2312" w:eastAsia="仿宋_GB2312" w:hAnsi="仿宋_GB2312" w:cs="仿宋_GB2312" w:hint="eastAsia"/>
          <w:sz w:val="32"/>
          <w:szCs w:val="32"/>
        </w:rPr>
        <w:t>70.93</w:t>
      </w:r>
      <w:r>
        <w:rPr>
          <w:rFonts w:ascii="仿宋_GB2312" w:eastAsia="仿宋_GB2312" w:hAnsi="仿宋_GB2312" w:cs="仿宋_GB2312" w:hint="eastAsia"/>
          <w:sz w:val="32"/>
          <w:szCs w:val="32"/>
        </w:rPr>
        <w:t>万元，占</w:t>
      </w:r>
      <w:r>
        <w:rPr>
          <w:rFonts w:ascii="仿宋_GB2312" w:eastAsia="仿宋_GB2312" w:hAnsi="仿宋_GB2312" w:cs="仿宋_GB2312" w:hint="eastAsia"/>
          <w:sz w:val="32"/>
          <w:szCs w:val="32"/>
        </w:rPr>
        <w:t>5.23%</w:t>
      </w:r>
      <w:r>
        <w:rPr>
          <w:rFonts w:ascii="仿宋_GB2312" w:eastAsia="仿宋_GB2312" w:hAnsi="仿宋_GB2312" w:cs="仿宋_GB2312" w:hint="eastAsia"/>
          <w:sz w:val="32"/>
          <w:szCs w:val="32"/>
        </w:rPr>
        <w:t>。</w:t>
      </w:r>
    </w:p>
    <w:p w:rsidR="00715D0F" w:rsidRDefault="00A941E1">
      <w:pPr>
        <w:spacing w:line="576" w:lineRule="exact"/>
        <w:ind w:firstLineChars="200" w:firstLine="640"/>
        <w:outlineLvl w:val="1"/>
        <w:rPr>
          <w:rFonts w:ascii="楷体_GB2312" w:eastAsia="楷体_GB2312" w:hAnsi="楷体_GB2312" w:cs="楷体_GB2312"/>
          <w:sz w:val="32"/>
          <w:szCs w:val="32"/>
        </w:rPr>
      </w:pPr>
      <w:bookmarkStart w:id="11" w:name="_Toc333706200"/>
      <w:r>
        <w:rPr>
          <w:rFonts w:ascii="楷体_GB2312" w:eastAsia="楷体_GB2312" w:hAnsi="楷体_GB2312" w:cs="楷体_GB2312" w:hint="eastAsia"/>
          <w:sz w:val="32"/>
          <w:szCs w:val="32"/>
        </w:rPr>
        <w:t>（三）一般公共预算当年拨款具体使用情况</w:t>
      </w:r>
      <w:bookmarkEnd w:id="11"/>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公共安全（类）检察（款）行政运行（项）</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893.43</w:t>
      </w:r>
      <w:r>
        <w:rPr>
          <w:rFonts w:ascii="仿宋_GB2312" w:eastAsia="仿宋_GB2312" w:hAnsi="仿宋_GB2312" w:cs="仿宋_GB2312" w:hint="eastAsia"/>
          <w:sz w:val="32"/>
          <w:szCs w:val="32"/>
        </w:rPr>
        <w:t>万元，主要用于：机关正常运转的基本支出，包括基本工资、津贴补贴、社会保障缴费等人员经费以及办公费、水电费、物业管理费、公务接待费、劳务费等日常公用经费</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保障部门正常运转；</w:t>
      </w:r>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 </w:t>
      </w:r>
      <w:r>
        <w:rPr>
          <w:rFonts w:ascii="仿宋_GB2312" w:eastAsia="仿宋_GB2312" w:hAnsi="仿宋_GB2312" w:cs="仿宋_GB2312" w:hint="eastAsia"/>
          <w:sz w:val="32"/>
          <w:szCs w:val="32"/>
        </w:rPr>
        <w:t>公共安全（类）检察（款）事业运行（项）</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54.64</w:t>
      </w:r>
      <w:r>
        <w:rPr>
          <w:rFonts w:ascii="仿宋_GB2312" w:eastAsia="仿宋_GB2312" w:hAnsi="仿宋_GB2312" w:cs="仿宋_GB2312" w:hint="eastAsia"/>
          <w:sz w:val="32"/>
          <w:szCs w:val="32"/>
        </w:rPr>
        <w:t>万元，主</w:t>
      </w:r>
      <w:r>
        <w:rPr>
          <w:rFonts w:ascii="仿宋_GB2312" w:eastAsia="仿宋_GB2312" w:hAnsi="仿宋_GB2312" w:cs="仿宋_GB2312" w:hint="eastAsia"/>
          <w:sz w:val="32"/>
          <w:szCs w:val="32"/>
        </w:rPr>
        <w:t>要用于：事业人员的基本工资、津贴补贴等人员经费以及办公费、邮电费、公务用车运行维护费等经费，保障部门正常运转。</w:t>
      </w:r>
    </w:p>
    <w:p w:rsidR="00715D0F" w:rsidRDefault="00A941E1">
      <w:pPr>
        <w:spacing w:line="576" w:lineRule="exact"/>
        <w:ind w:firstLineChars="200" w:firstLine="640"/>
        <w:rPr>
          <w:rFonts w:ascii="仿宋_GB2312" w:eastAsia="仿宋_GB2312" w:hAnsi="宋体" w:cs="宋体"/>
          <w:color w:val="333333"/>
          <w:kern w:val="0"/>
          <w:sz w:val="32"/>
          <w:szCs w:val="32"/>
          <w:shd w:val="clear" w:color="auto" w:fill="FFFFFF"/>
        </w:rPr>
      </w:pPr>
      <w:r>
        <w:rPr>
          <w:rFonts w:ascii="仿宋_GB2312" w:eastAsia="仿宋_GB2312" w:hAnsi="仿宋_GB2312" w:cs="仿宋_GB2312" w:hint="eastAsia"/>
          <w:sz w:val="32"/>
          <w:szCs w:val="32"/>
        </w:rPr>
        <w:t>3.</w:t>
      </w:r>
      <w:r>
        <w:rPr>
          <w:rFonts w:ascii="仿宋_GB2312" w:eastAsia="仿宋_GB2312" w:hAnsi="宋体" w:cs="宋体" w:hint="eastAsia"/>
          <w:color w:val="333333"/>
          <w:kern w:val="0"/>
          <w:sz w:val="32"/>
          <w:szCs w:val="32"/>
          <w:shd w:val="clear" w:color="auto" w:fill="FFFFFF"/>
        </w:rPr>
        <w:t xml:space="preserve"> </w:t>
      </w:r>
      <w:r>
        <w:rPr>
          <w:rFonts w:ascii="仿宋_GB2312" w:eastAsia="仿宋_GB2312" w:hAnsi="宋体" w:cs="宋体" w:hint="eastAsia"/>
          <w:color w:val="333333"/>
          <w:kern w:val="0"/>
          <w:sz w:val="32"/>
          <w:szCs w:val="32"/>
          <w:shd w:val="clear" w:color="auto" w:fill="FFFFFF"/>
        </w:rPr>
        <w:t>公共安全（类）检察（款）一般行政管理事务（项）</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207.06</w:t>
      </w:r>
      <w:r>
        <w:rPr>
          <w:rFonts w:ascii="仿宋_GB2312" w:eastAsia="仿宋_GB2312" w:hAnsi="仿宋_GB2312" w:cs="仿宋_GB2312" w:hint="eastAsia"/>
          <w:sz w:val="32"/>
          <w:szCs w:val="32"/>
        </w:rPr>
        <w:t>万元，主要用于：</w:t>
      </w:r>
      <w:r>
        <w:rPr>
          <w:rFonts w:ascii="仿宋_GB2312" w:eastAsia="仿宋_GB2312" w:hAnsi="宋体" w:cs="宋体" w:hint="eastAsia"/>
          <w:color w:val="333333"/>
          <w:kern w:val="0"/>
          <w:sz w:val="32"/>
          <w:szCs w:val="32"/>
          <w:shd w:val="clear" w:color="auto" w:fill="FFFFFF"/>
        </w:rPr>
        <w:t>保障办案运转，公诉、执行监督、批捕、公益诉讼等检察业务的正常有序开展。</w:t>
      </w:r>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社会保障和就业（类）行政事业单位养老支出（款）机关事业单位基本养老保险缴费支出（项）</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86.79</w:t>
      </w:r>
      <w:r>
        <w:rPr>
          <w:rFonts w:ascii="仿宋_GB2312" w:eastAsia="仿宋_GB2312" w:hAnsi="仿宋_GB2312" w:cs="仿宋_GB2312" w:hint="eastAsia"/>
          <w:sz w:val="32"/>
          <w:szCs w:val="32"/>
        </w:rPr>
        <w:lastRenderedPageBreak/>
        <w:t>万元，主要用于：实施养老保险制度由单位缴纳的基本养老保险支出。</w:t>
      </w:r>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社会保障和就业（类）其他社会保障和就业支出（款）其他社会保障和就业支出（项）</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1.12</w:t>
      </w:r>
      <w:r>
        <w:rPr>
          <w:rFonts w:ascii="仿宋_GB2312" w:eastAsia="仿宋_GB2312" w:hAnsi="仿宋_GB2312" w:cs="仿宋_GB2312" w:hint="eastAsia"/>
          <w:sz w:val="32"/>
          <w:szCs w:val="32"/>
        </w:rPr>
        <w:t>万元，主要用于：缴纳单位在职人员的生育和工伤保险、事业人员的失业保险支出。</w:t>
      </w:r>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卫生健康（类）行政事业单位医疗（款）行政单位医疗（项）</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41.08</w:t>
      </w:r>
      <w:r>
        <w:rPr>
          <w:rFonts w:ascii="仿宋_GB2312" w:eastAsia="仿宋_GB2312" w:hAnsi="仿宋_GB2312" w:cs="仿宋_GB2312" w:hint="eastAsia"/>
          <w:sz w:val="32"/>
          <w:szCs w:val="32"/>
        </w:rPr>
        <w:t>万元，主要用于：机关及参公管理事业单位按规定由单位缴纳的基本医疗保险支出。</w:t>
      </w:r>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住房保障（类）住房改革支出（款）住房公积金（项）</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年预算数为</w:t>
      </w:r>
      <w:r>
        <w:rPr>
          <w:rFonts w:ascii="仿宋_GB2312" w:eastAsia="仿宋_GB2312" w:hAnsi="仿宋_GB2312" w:cs="仿宋_GB2312" w:hint="eastAsia"/>
          <w:sz w:val="32"/>
          <w:szCs w:val="32"/>
        </w:rPr>
        <w:t>70.93</w:t>
      </w:r>
      <w:r>
        <w:rPr>
          <w:rFonts w:ascii="仿宋_GB2312" w:eastAsia="仿宋_GB2312" w:hAnsi="仿宋_GB2312" w:cs="仿宋_GB2312" w:hint="eastAsia"/>
          <w:sz w:val="32"/>
          <w:szCs w:val="32"/>
        </w:rPr>
        <w:t>万元，主要用于：部门按规定为职工缴纳的住房公积金支出。</w:t>
      </w:r>
    </w:p>
    <w:p w:rsidR="00715D0F" w:rsidRDefault="00A941E1">
      <w:pPr>
        <w:spacing w:line="576" w:lineRule="exact"/>
        <w:ind w:firstLineChars="200" w:firstLine="640"/>
        <w:outlineLvl w:val="0"/>
        <w:rPr>
          <w:rFonts w:ascii="黑体" w:eastAsia="黑体" w:hAnsi="黑体" w:cs="黑体"/>
          <w:sz w:val="32"/>
          <w:szCs w:val="32"/>
        </w:rPr>
      </w:pPr>
      <w:bookmarkStart w:id="12" w:name="_Toc1372567447"/>
      <w:r>
        <w:rPr>
          <w:rFonts w:ascii="黑体" w:eastAsia="黑体" w:hAnsi="黑体" w:cs="黑体" w:hint="eastAsia"/>
          <w:sz w:val="32"/>
          <w:szCs w:val="32"/>
        </w:rPr>
        <w:t>六、一般公共预算基本支出情况说明</w:t>
      </w:r>
      <w:bookmarkEnd w:id="12"/>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w:t>
      </w:r>
      <w:r>
        <w:rPr>
          <w:rFonts w:ascii="仿宋_GB2312" w:eastAsia="仿宋_GB2312" w:hAnsi="仿宋_GB2312" w:cs="仿宋_GB2312" w:hint="eastAsia"/>
          <w:sz w:val="32"/>
          <w:szCs w:val="32"/>
        </w:rPr>
        <w:t>元市利州区人民检察院</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年一般公共预算基本支出</w:t>
      </w:r>
      <w:r>
        <w:rPr>
          <w:rFonts w:ascii="仿宋_GB2312" w:eastAsia="仿宋_GB2312" w:hAnsi="仿宋_GB2312" w:cs="仿宋_GB2312" w:hint="eastAsia"/>
          <w:sz w:val="32"/>
          <w:szCs w:val="32"/>
        </w:rPr>
        <w:t>1147.98</w:t>
      </w:r>
      <w:r>
        <w:rPr>
          <w:rFonts w:ascii="仿宋_GB2312" w:eastAsia="仿宋_GB2312" w:hAnsi="仿宋_GB2312" w:cs="仿宋_GB2312" w:hint="eastAsia"/>
          <w:sz w:val="32"/>
          <w:szCs w:val="32"/>
        </w:rPr>
        <w:t>万元，其中：</w:t>
      </w:r>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人员经费</w:t>
      </w:r>
      <w:r>
        <w:rPr>
          <w:rFonts w:ascii="仿宋_GB2312" w:eastAsia="仿宋_GB2312" w:hAnsi="仿宋_GB2312" w:cs="仿宋_GB2312" w:hint="eastAsia"/>
          <w:sz w:val="32"/>
          <w:szCs w:val="32"/>
        </w:rPr>
        <w:t>969.44</w:t>
      </w:r>
      <w:r>
        <w:rPr>
          <w:rFonts w:ascii="仿宋_GB2312" w:eastAsia="仿宋_GB2312" w:hAnsi="仿宋_GB2312" w:cs="仿宋_GB2312" w:hint="eastAsia"/>
          <w:sz w:val="32"/>
          <w:szCs w:val="32"/>
        </w:rPr>
        <w:t>万元，主要包括：基本工资、津贴补贴、奖金、绩效工资、机关事业单位基本养老保险缴费、职工基本医疗保险缴费、其他社会保障缴费、住房公积金、其他工资福利支出、生活补助等支出。</w:t>
      </w:r>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公用经费</w:t>
      </w:r>
      <w:r>
        <w:rPr>
          <w:rFonts w:ascii="仿宋_GB2312" w:eastAsia="仿宋_GB2312" w:hAnsi="仿宋_GB2312" w:cs="仿宋_GB2312" w:hint="eastAsia"/>
          <w:sz w:val="32"/>
          <w:szCs w:val="32"/>
        </w:rPr>
        <w:t>178.54</w:t>
      </w:r>
      <w:r>
        <w:rPr>
          <w:rFonts w:ascii="仿宋_GB2312" w:eastAsia="仿宋_GB2312" w:hAnsi="仿宋_GB2312" w:cs="仿宋_GB2312" w:hint="eastAsia"/>
          <w:sz w:val="32"/>
          <w:szCs w:val="32"/>
        </w:rPr>
        <w:t>万元，主要包括：办公费、水费、电费、邮电费、物业管理费、公务接待费、劳务费、工会经费、福利费、公务用车运行维护费、其他交通费用、其他商品和服务支出等支</w:t>
      </w:r>
      <w:r>
        <w:rPr>
          <w:rFonts w:ascii="仿宋_GB2312" w:eastAsia="仿宋_GB2312" w:hAnsi="仿宋_GB2312" w:cs="仿宋_GB2312" w:hint="eastAsia"/>
          <w:sz w:val="32"/>
          <w:szCs w:val="32"/>
        </w:rPr>
        <w:lastRenderedPageBreak/>
        <w:t>出。</w:t>
      </w:r>
    </w:p>
    <w:p w:rsidR="00715D0F" w:rsidRDefault="00A941E1">
      <w:pPr>
        <w:spacing w:line="576" w:lineRule="exact"/>
        <w:ind w:firstLineChars="200" w:firstLine="640"/>
        <w:outlineLvl w:val="0"/>
        <w:rPr>
          <w:rFonts w:ascii="黑体" w:eastAsia="黑体" w:hAnsi="黑体" w:cs="黑体"/>
          <w:sz w:val="32"/>
          <w:szCs w:val="32"/>
        </w:rPr>
      </w:pPr>
      <w:bookmarkStart w:id="13" w:name="_Toc70559336"/>
      <w:r>
        <w:rPr>
          <w:rFonts w:ascii="黑体" w:eastAsia="黑体" w:hAnsi="黑体" w:cs="黑体" w:hint="eastAsia"/>
          <w:sz w:val="32"/>
          <w:szCs w:val="32"/>
        </w:rPr>
        <w:t>七、“三公”经费财政拨款预算安排情况说明</w:t>
      </w:r>
      <w:bookmarkEnd w:id="13"/>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广元市利州区人民检察院</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24</w:t>
      </w:r>
      <w:r>
        <w:rPr>
          <w:rFonts w:ascii="仿宋_GB2312" w:eastAsia="仿宋_GB2312" w:hAnsi="仿宋_GB2312" w:cs="仿宋_GB2312" w:hint="eastAsia"/>
          <w:sz w:val="32"/>
          <w:szCs w:val="32"/>
        </w:rPr>
        <w:t>年“三公”经费财政拨款预算数</w:t>
      </w:r>
      <w:r>
        <w:rPr>
          <w:rFonts w:ascii="仿宋_GB2312" w:eastAsia="仿宋_GB2312" w:hAnsi="仿宋_GB2312" w:cs="仿宋_GB2312" w:hint="eastAsia"/>
          <w:sz w:val="32"/>
          <w:szCs w:val="32"/>
        </w:rPr>
        <w:t>5.98</w:t>
      </w:r>
      <w:r>
        <w:rPr>
          <w:rFonts w:ascii="仿宋_GB2312" w:eastAsia="仿宋_GB2312" w:hAnsi="仿宋_GB2312" w:cs="仿宋_GB2312" w:hint="eastAsia"/>
          <w:sz w:val="32"/>
          <w:szCs w:val="32"/>
        </w:rPr>
        <w:t>万元，其中：公务接待费</w:t>
      </w:r>
      <w:r>
        <w:rPr>
          <w:rFonts w:ascii="仿宋_GB2312" w:eastAsia="仿宋_GB2312" w:hAnsi="仿宋_GB2312" w:cs="仿宋_GB2312" w:hint="eastAsia"/>
          <w:sz w:val="32"/>
          <w:szCs w:val="32"/>
        </w:rPr>
        <w:t>2.98</w:t>
      </w:r>
      <w:r>
        <w:rPr>
          <w:rFonts w:ascii="仿宋_GB2312" w:eastAsia="仿宋_GB2312" w:hAnsi="仿宋_GB2312" w:cs="仿宋_GB2312" w:hint="eastAsia"/>
          <w:sz w:val="32"/>
          <w:szCs w:val="32"/>
        </w:rPr>
        <w:t>万元，公务用车购置及运行维护费</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万元，因公出国（境）经费</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715D0F" w:rsidRDefault="00A941E1">
      <w:pPr>
        <w:spacing w:line="576" w:lineRule="exact"/>
        <w:ind w:firstLineChars="200" w:firstLine="640"/>
        <w:outlineLvl w:val="1"/>
        <w:rPr>
          <w:rFonts w:ascii="楷体_GB2312" w:eastAsia="楷体_GB2312" w:hAnsi="楷体_GB2312" w:cs="楷体_GB2312"/>
          <w:sz w:val="32"/>
          <w:szCs w:val="32"/>
        </w:rPr>
      </w:pPr>
      <w:bookmarkStart w:id="14" w:name="_Toc561154550"/>
      <w:r>
        <w:rPr>
          <w:rFonts w:ascii="楷体_GB2312" w:eastAsia="楷体_GB2312" w:hAnsi="楷体_GB2312" w:cs="楷体_GB2312" w:hint="eastAsia"/>
          <w:sz w:val="32"/>
          <w:szCs w:val="32"/>
        </w:rPr>
        <w:t>（一）公务接待费</w:t>
      </w:r>
      <w:bookmarkEnd w:id="14"/>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公务接待费与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年预算相比持平。</w:t>
      </w:r>
    </w:p>
    <w:p w:rsidR="00715D0F" w:rsidRDefault="00A941E1">
      <w:pPr>
        <w:spacing w:line="576"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年公务接待费计划用于执行接待考察调研、检查指导等公务活动开支的交通费、住宿费、用餐费等。</w:t>
      </w:r>
    </w:p>
    <w:p w:rsidR="00715D0F" w:rsidRDefault="00A941E1">
      <w:pPr>
        <w:numPr>
          <w:ilvl w:val="0"/>
          <w:numId w:val="1"/>
        </w:numPr>
        <w:spacing w:line="576" w:lineRule="exact"/>
        <w:ind w:firstLineChars="200" w:firstLine="640"/>
        <w:outlineLvl w:val="1"/>
        <w:rPr>
          <w:rFonts w:ascii="楷体_GB2312" w:eastAsia="楷体_GB2312" w:hAnsi="楷体_GB2312" w:cs="楷体_GB2312"/>
          <w:sz w:val="32"/>
          <w:szCs w:val="32"/>
        </w:rPr>
      </w:pPr>
      <w:bookmarkStart w:id="15" w:name="_Toc1979680019"/>
      <w:r>
        <w:rPr>
          <w:rFonts w:ascii="楷体_GB2312" w:eastAsia="楷体_GB2312" w:hAnsi="楷体_GB2312" w:cs="楷体_GB2312" w:hint="eastAsia"/>
          <w:sz w:val="32"/>
          <w:szCs w:val="32"/>
        </w:rPr>
        <w:t>公务用车购置及运行维护费</w:t>
      </w:r>
      <w:bookmarkEnd w:id="15"/>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公务用车购置及运行维护费与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年预算相比持平。</w:t>
      </w:r>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单位现有公务用车</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辆，其中：轿车</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辆，旅行车（含商务车）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辆，越野车</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辆。</w:t>
      </w:r>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年未安排公务用车购置费。</w:t>
      </w:r>
    </w:p>
    <w:p w:rsidR="00715D0F" w:rsidRDefault="00A941E1">
      <w:pPr>
        <w:pBdr>
          <w:bottom w:val="none" w:sz="0" w:space="0" w:color="FFFFFF"/>
        </w:pBd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年安排公务用车运行维护费</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万元，用于</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辆公务用车燃油、过路（桥）、维修、保险等方面支出，主要保障机关工作调研、乡村振兴工作、监督检查及诉讼、办案取证、普法宣传等检察业务工作开展。</w:t>
      </w:r>
    </w:p>
    <w:p w:rsidR="00715D0F" w:rsidRDefault="00A941E1">
      <w:pPr>
        <w:pBdr>
          <w:bottom w:val="single" w:sz="8" w:space="0" w:color="FFFFFF"/>
        </w:pBdr>
        <w:spacing w:line="576" w:lineRule="exact"/>
        <w:ind w:firstLineChars="200" w:firstLine="640"/>
        <w:outlineLvl w:val="1"/>
        <w:rPr>
          <w:rFonts w:ascii="仿宋_GB2312" w:eastAsia="仿宋_GB2312" w:hAnsi="仿宋_GB2312" w:cs="仿宋_GB2312"/>
          <w:sz w:val="32"/>
          <w:szCs w:val="32"/>
        </w:rPr>
      </w:pPr>
      <w:bookmarkStart w:id="16" w:name="_Toc1347092972"/>
      <w:r>
        <w:rPr>
          <w:rFonts w:ascii="仿宋_GB2312" w:eastAsia="仿宋_GB2312" w:hAnsi="仿宋_GB2312" w:cs="仿宋_GB2312" w:hint="eastAsia"/>
          <w:sz w:val="32"/>
          <w:szCs w:val="32"/>
        </w:rPr>
        <w:t>（</w:t>
      </w:r>
      <w:r>
        <w:rPr>
          <w:rFonts w:ascii="楷体_GB2312" w:eastAsia="楷体_GB2312" w:hAnsi="楷体_GB2312" w:cs="楷体_GB2312" w:hint="eastAsia"/>
          <w:sz w:val="32"/>
          <w:szCs w:val="32"/>
        </w:rPr>
        <w:t>三）因公出国（境）经费</w:t>
      </w:r>
      <w:bookmarkEnd w:id="16"/>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因公出国（境）经费与</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年预算相比持平。</w:t>
      </w:r>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年部门预算未编列因公出国（境）经费，未安排出国</w:t>
      </w:r>
      <w:r>
        <w:rPr>
          <w:rFonts w:ascii="仿宋_GB2312" w:eastAsia="仿宋_GB2312" w:hAnsi="宋体" w:cs="宋体" w:hint="eastAsia"/>
          <w:color w:val="333333"/>
          <w:kern w:val="0"/>
          <w:sz w:val="32"/>
          <w:szCs w:val="32"/>
          <w:shd w:val="clear" w:color="auto" w:fill="FFFFFF"/>
        </w:rPr>
        <w:t>（境）任务和计划。</w:t>
      </w:r>
    </w:p>
    <w:p w:rsidR="00715D0F" w:rsidRDefault="00A941E1">
      <w:pPr>
        <w:spacing w:line="576" w:lineRule="exact"/>
        <w:ind w:firstLineChars="200" w:firstLine="640"/>
        <w:outlineLvl w:val="0"/>
        <w:rPr>
          <w:rFonts w:ascii="黑体" w:eastAsia="黑体" w:hAnsi="黑体" w:cs="黑体"/>
          <w:sz w:val="32"/>
          <w:szCs w:val="32"/>
        </w:rPr>
      </w:pPr>
      <w:bookmarkStart w:id="17" w:name="_Toc2142303468"/>
      <w:r>
        <w:rPr>
          <w:rFonts w:ascii="黑体" w:eastAsia="黑体" w:hAnsi="黑体" w:cs="黑体" w:hint="eastAsia"/>
          <w:sz w:val="32"/>
          <w:szCs w:val="32"/>
        </w:rPr>
        <w:lastRenderedPageBreak/>
        <w:t>八、政府性基金预算支出情况说明</w:t>
      </w:r>
      <w:bookmarkEnd w:id="17"/>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广元市利州区人民检察院</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年无政府性基金预算拨款安排的支出。</w:t>
      </w:r>
    </w:p>
    <w:p w:rsidR="00715D0F" w:rsidRDefault="00A941E1">
      <w:pPr>
        <w:spacing w:line="576" w:lineRule="exact"/>
        <w:ind w:firstLineChars="200" w:firstLine="640"/>
        <w:outlineLvl w:val="0"/>
        <w:rPr>
          <w:rFonts w:ascii="黑体" w:eastAsia="黑体" w:hAnsi="黑体" w:cs="黑体"/>
          <w:sz w:val="32"/>
          <w:szCs w:val="32"/>
        </w:rPr>
      </w:pPr>
      <w:bookmarkStart w:id="18" w:name="_Toc605901695"/>
      <w:r>
        <w:rPr>
          <w:rFonts w:ascii="黑体" w:eastAsia="黑体" w:hAnsi="黑体" w:cs="黑体" w:hint="eastAsia"/>
          <w:sz w:val="32"/>
          <w:szCs w:val="32"/>
        </w:rPr>
        <w:t>九、国有资本经营预算支出情况说明</w:t>
      </w:r>
      <w:bookmarkEnd w:id="18"/>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广元市利州区人民检察院</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年无国有资本经营预算拨款安排的支出。</w:t>
      </w:r>
    </w:p>
    <w:p w:rsidR="00715D0F" w:rsidRDefault="00A941E1">
      <w:pPr>
        <w:spacing w:line="576" w:lineRule="exact"/>
        <w:ind w:firstLineChars="200" w:firstLine="640"/>
        <w:outlineLvl w:val="0"/>
        <w:rPr>
          <w:rFonts w:ascii="黑体" w:eastAsia="黑体" w:hAnsi="黑体" w:cs="黑体"/>
          <w:sz w:val="32"/>
          <w:szCs w:val="32"/>
        </w:rPr>
      </w:pPr>
      <w:bookmarkStart w:id="19" w:name="_Toc1688061409"/>
      <w:r>
        <w:rPr>
          <w:rFonts w:ascii="黑体" w:eastAsia="黑体" w:hAnsi="黑体" w:cs="黑体" w:hint="eastAsia"/>
          <w:sz w:val="32"/>
          <w:szCs w:val="32"/>
        </w:rPr>
        <w:t>十、其他重要事项的情况说明</w:t>
      </w:r>
      <w:bookmarkEnd w:id="19"/>
    </w:p>
    <w:p w:rsidR="00715D0F" w:rsidRDefault="00A941E1">
      <w:pPr>
        <w:spacing w:line="576" w:lineRule="exact"/>
        <w:ind w:firstLineChars="200" w:firstLine="640"/>
        <w:outlineLvl w:val="1"/>
        <w:rPr>
          <w:rFonts w:ascii="楷体_GB2312" w:eastAsia="楷体_GB2312" w:hAnsi="楷体_GB2312" w:cs="楷体_GB2312"/>
          <w:sz w:val="32"/>
          <w:szCs w:val="32"/>
        </w:rPr>
      </w:pPr>
      <w:bookmarkStart w:id="20" w:name="_Toc557040499"/>
      <w:r>
        <w:rPr>
          <w:rFonts w:ascii="楷体_GB2312" w:eastAsia="楷体_GB2312" w:hAnsi="楷体_GB2312" w:cs="楷体_GB2312" w:hint="eastAsia"/>
          <w:sz w:val="32"/>
          <w:szCs w:val="32"/>
        </w:rPr>
        <w:t>（一）机关运行经费</w:t>
      </w:r>
      <w:bookmarkEnd w:id="20"/>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年，广元市利州区人民检察院的机关运行经费财政拨款预算为</w:t>
      </w:r>
      <w:r>
        <w:rPr>
          <w:rFonts w:ascii="仿宋_GB2312" w:eastAsia="仿宋_GB2312" w:hAnsi="仿宋_GB2312" w:cs="仿宋_GB2312" w:hint="eastAsia"/>
          <w:sz w:val="32"/>
          <w:szCs w:val="32"/>
        </w:rPr>
        <w:t>178.54</w:t>
      </w:r>
      <w:r>
        <w:rPr>
          <w:rFonts w:ascii="仿宋_GB2312" w:eastAsia="仿宋_GB2312" w:hAnsi="仿宋_GB2312" w:cs="仿宋_GB2312" w:hint="eastAsia"/>
          <w:sz w:val="32"/>
          <w:szCs w:val="32"/>
        </w:rPr>
        <w:t>万元，比</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年预算减少</w:t>
      </w:r>
      <w:r>
        <w:rPr>
          <w:rFonts w:ascii="仿宋_GB2312" w:eastAsia="仿宋_GB2312" w:hAnsi="仿宋_GB2312" w:cs="仿宋_GB2312" w:hint="eastAsia"/>
          <w:sz w:val="32"/>
          <w:szCs w:val="32"/>
        </w:rPr>
        <w:t>4.54</w:t>
      </w:r>
      <w:r>
        <w:rPr>
          <w:rFonts w:ascii="仿宋_GB2312" w:eastAsia="仿宋_GB2312" w:hAnsi="仿宋_GB2312" w:cs="仿宋_GB2312" w:hint="eastAsia"/>
          <w:sz w:val="32"/>
          <w:szCs w:val="32"/>
        </w:rPr>
        <w:t>万元，下降</w:t>
      </w:r>
      <w:r>
        <w:rPr>
          <w:rFonts w:ascii="仿宋_GB2312" w:eastAsia="仿宋_GB2312" w:hAnsi="仿宋_GB2312" w:cs="仿宋_GB2312" w:hint="eastAsia"/>
          <w:sz w:val="32"/>
          <w:szCs w:val="32"/>
        </w:rPr>
        <w:t>2.48%</w:t>
      </w:r>
      <w:r>
        <w:rPr>
          <w:rFonts w:ascii="仿宋_GB2312" w:eastAsia="仿宋_GB2312" w:hAnsi="仿宋_GB2312" w:cs="仿宋_GB2312" w:hint="eastAsia"/>
          <w:sz w:val="32"/>
          <w:szCs w:val="32"/>
        </w:rPr>
        <w:t>。主要原因政策性人员变动导致公用经费相应减少。</w:t>
      </w:r>
    </w:p>
    <w:p w:rsidR="00715D0F" w:rsidRDefault="00A941E1">
      <w:pPr>
        <w:spacing w:line="576" w:lineRule="exact"/>
        <w:ind w:firstLineChars="200" w:firstLine="640"/>
        <w:outlineLvl w:val="1"/>
        <w:rPr>
          <w:rFonts w:ascii="楷体_GB2312" w:eastAsia="楷体_GB2312" w:hAnsi="楷体_GB2312" w:cs="楷体_GB2312"/>
          <w:sz w:val="32"/>
          <w:szCs w:val="32"/>
        </w:rPr>
      </w:pPr>
      <w:bookmarkStart w:id="21" w:name="_Toc229811398"/>
      <w:r>
        <w:rPr>
          <w:rFonts w:ascii="楷体_GB2312" w:eastAsia="楷体_GB2312" w:hAnsi="楷体_GB2312" w:cs="楷体_GB2312" w:hint="eastAsia"/>
          <w:sz w:val="32"/>
          <w:szCs w:val="32"/>
        </w:rPr>
        <w:t>（二）政府采购情况</w:t>
      </w:r>
      <w:bookmarkEnd w:id="21"/>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年，广元市利州区人民检察院安排政府采购预算</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p>
    <w:p w:rsidR="00715D0F" w:rsidRDefault="00A941E1">
      <w:pPr>
        <w:spacing w:line="576" w:lineRule="exact"/>
        <w:ind w:firstLineChars="200" w:firstLine="640"/>
        <w:outlineLvl w:val="1"/>
        <w:rPr>
          <w:rFonts w:ascii="楷体_GB2312" w:eastAsia="楷体_GB2312" w:hAnsi="楷体_GB2312" w:cs="楷体_GB2312"/>
          <w:sz w:val="32"/>
          <w:szCs w:val="32"/>
        </w:rPr>
      </w:pPr>
      <w:bookmarkStart w:id="22" w:name="_Toc1501410950"/>
      <w:r>
        <w:rPr>
          <w:rFonts w:ascii="楷体_GB2312" w:eastAsia="楷体_GB2312" w:hAnsi="楷体_GB2312" w:cs="楷体_GB2312" w:hint="eastAsia"/>
          <w:sz w:val="32"/>
          <w:szCs w:val="32"/>
        </w:rPr>
        <w:t>（三）国有资产占有使用情况</w:t>
      </w:r>
      <w:bookmarkEnd w:id="22"/>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年底，广元市利州区人民检察院共有车辆</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辆，其中，执法执勤用车</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辆。单位价值</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万元以上大型设备</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台（套）。</w:t>
      </w:r>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年部门预算未安排购置车辆及单位价值</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万元以上大型设备。</w:t>
      </w:r>
      <w:bookmarkStart w:id="23" w:name="_GoBack"/>
      <w:bookmarkEnd w:id="23"/>
    </w:p>
    <w:p w:rsidR="00715D0F" w:rsidRDefault="00A941E1">
      <w:pPr>
        <w:spacing w:line="576" w:lineRule="exact"/>
        <w:ind w:firstLineChars="200" w:firstLine="640"/>
        <w:outlineLvl w:val="1"/>
        <w:rPr>
          <w:rFonts w:ascii="楷体_GB2312" w:eastAsia="楷体_GB2312" w:hAnsi="楷体_GB2312" w:cs="楷体_GB2312"/>
          <w:sz w:val="32"/>
          <w:szCs w:val="32"/>
        </w:rPr>
      </w:pPr>
      <w:bookmarkStart w:id="24" w:name="_Toc1243803081"/>
      <w:r>
        <w:rPr>
          <w:rFonts w:ascii="楷体_GB2312" w:eastAsia="楷体_GB2312" w:hAnsi="楷体_GB2312" w:cs="楷体_GB2312" w:hint="eastAsia"/>
          <w:sz w:val="32"/>
          <w:szCs w:val="32"/>
        </w:rPr>
        <w:t>（四）绩效目标设置情况</w:t>
      </w:r>
      <w:bookmarkEnd w:id="24"/>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年广元市利州区人民检察院开展绩效目标管理的项目</w:t>
      </w:r>
      <w:r>
        <w:rPr>
          <w:rFonts w:ascii="仿宋_GB2312" w:eastAsia="仿宋_GB2312" w:hAnsi="仿宋_GB2312" w:cs="仿宋_GB2312" w:hint="eastAsia"/>
          <w:sz w:val="32"/>
          <w:szCs w:val="32"/>
        </w:rPr>
        <w:lastRenderedPageBreak/>
        <w:t>12</w:t>
      </w:r>
      <w:r>
        <w:rPr>
          <w:rFonts w:ascii="仿宋_GB2312" w:eastAsia="仿宋_GB2312" w:hAnsi="仿宋_GB2312" w:cs="仿宋_GB2312" w:hint="eastAsia"/>
          <w:sz w:val="32"/>
          <w:szCs w:val="32"/>
        </w:rPr>
        <w:t>个，涉及预算</w:t>
      </w:r>
      <w:r>
        <w:rPr>
          <w:rFonts w:ascii="仿宋_GB2312" w:eastAsia="仿宋_GB2312" w:hAnsi="仿宋_GB2312" w:cs="仿宋_GB2312" w:hint="eastAsia"/>
          <w:sz w:val="32"/>
          <w:szCs w:val="32"/>
        </w:rPr>
        <w:t>1355.04</w:t>
      </w:r>
      <w:r>
        <w:rPr>
          <w:rFonts w:ascii="仿宋_GB2312" w:eastAsia="仿宋_GB2312" w:hAnsi="仿宋_GB2312" w:cs="仿宋_GB2312" w:hint="eastAsia"/>
          <w:sz w:val="32"/>
          <w:szCs w:val="32"/>
        </w:rPr>
        <w:t>万元。其中：人员类项目</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个，涉及预算</w:t>
      </w:r>
      <w:r>
        <w:rPr>
          <w:rFonts w:ascii="仿宋_GB2312" w:eastAsia="仿宋_GB2312" w:hAnsi="仿宋_GB2312" w:cs="仿宋_GB2312" w:hint="eastAsia"/>
          <w:sz w:val="32"/>
          <w:szCs w:val="32"/>
        </w:rPr>
        <w:t>969.44</w:t>
      </w:r>
      <w:r>
        <w:rPr>
          <w:rFonts w:ascii="仿宋_GB2312" w:eastAsia="仿宋_GB2312" w:hAnsi="仿宋_GB2312" w:cs="仿宋_GB2312" w:hint="eastAsia"/>
          <w:sz w:val="32"/>
          <w:szCs w:val="32"/>
        </w:rPr>
        <w:t>万元；运转类项目</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个，涉及预算</w:t>
      </w:r>
      <w:r>
        <w:rPr>
          <w:rFonts w:ascii="仿宋_GB2312" w:eastAsia="仿宋_GB2312" w:hAnsi="仿宋_GB2312" w:cs="仿宋_GB2312" w:hint="eastAsia"/>
          <w:sz w:val="32"/>
          <w:szCs w:val="32"/>
        </w:rPr>
        <w:t>178.54</w:t>
      </w:r>
      <w:r>
        <w:rPr>
          <w:rFonts w:ascii="仿宋_GB2312" w:eastAsia="仿宋_GB2312" w:hAnsi="仿宋_GB2312" w:cs="仿宋_GB2312" w:hint="eastAsia"/>
          <w:sz w:val="32"/>
          <w:szCs w:val="32"/>
        </w:rPr>
        <w:t>万元；特定目标类项目</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个，涉及预算</w:t>
      </w:r>
      <w:r>
        <w:rPr>
          <w:rFonts w:ascii="仿宋_GB2312" w:eastAsia="仿宋_GB2312" w:hAnsi="仿宋_GB2312" w:cs="仿宋_GB2312" w:hint="eastAsia"/>
          <w:sz w:val="32"/>
          <w:szCs w:val="32"/>
        </w:rPr>
        <w:t>207.06</w:t>
      </w:r>
      <w:r>
        <w:rPr>
          <w:rFonts w:ascii="仿宋_GB2312" w:eastAsia="仿宋_GB2312" w:hAnsi="仿宋_GB2312" w:cs="仿宋_GB2312" w:hint="eastAsia"/>
          <w:sz w:val="32"/>
          <w:szCs w:val="32"/>
        </w:rPr>
        <w:t>万元。</w:t>
      </w:r>
    </w:p>
    <w:p w:rsidR="00715D0F" w:rsidRDefault="00A941E1">
      <w:pPr>
        <w:spacing w:line="576" w:lineRule="exact"/>
        <w:ind w:firstLineChars="200" w:firstLine="640"/>
        <w:outlineLvl w:val="0"/>
        <w:rPr>
          <w:rFonts w:ascii="黑体" w:eastAsia="黑体" w:hAnsi="黑体" w:cs="黑体"/>
          <w:sz w:val="32"/>
          <w:szCs w:val="32"/>
        </w:rPr>
      </w:pPr>
      <w:bookmarkStart w:id="25" w:name="_Toc888074516"/>
      <w:r>
        <w:rPr>
          <w:rFonts w:ascii="黑体" w:eastAsia="黑体" w:hAnsi="黑体" w:cs="黑体" w:hint="eastAsia"/>
          <w:sz w:val="32"/>
          <w:szCs w:val="32"/>
        </w:rPr>
        <w:t>十一、名词解释</w:t>
      </w:r>
      <w:bookmarkEnd w:id="25"/>
    </w:p>
    <w:p w:rsidR="00715D0F" w:rsidRDefault="00A941E1">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（一）财政拨款收入</w:t>
      </w:r>
      <w:r>
        <w:rPr>
          <w:rFonts w:ascii="楷体_GB2312" w:eastAsia="楷体_GB2312" w:hAnsi="楷体_GB2312" w:cs="楷体_GB2312"/>
          <w:sz w:val="32"/>
          <w:szCs w:val="32"/>
        </w:rPr>
        <w:t>:</w:t>
      </w:r>
      <w:r>
        <w:rPr>
          <w:rFonts w:ascii="仿宋_GB2312" w:eastAsia="仿宋_GB2312" w:hAnsi="仿宋_GB2312" w:cs="仿宋_GB2312" w:hint="eastAsia"/>
          <w:sz w:val="32"/>
          <w:szCs w:val="32"/>
        </w:rPr>
        <w:t>指市财政当年安排的财政预算收入。按</w:t>
      </w:r>
      <w:r>
        <w:rPr>
          <w:rFonts w:ascii="仿宋_GB2312" w:eastAsia="仿宋_GB2312" w:hAnsi="仿宋_GB2312" w:cs="仿宋_GB2312" w:hint="eastAsia"/>
          <w:sz w:val="32"/>
          <w:szCs w:val="32"/>
        </w:rPr>
        <w:t>现行管理制度</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部门预算中反映的财政拨款包括一般公共预算拨款和政府性基金预算拨款。</w:t>
      </w:r>
    </w:p>
    <w:p w:rsidR="00715D0F" w:rsidRDefault="00A941E1">
      <w:pPr>
        <w:spacing w:line="576" w:lineRule="exact"/>
        <w:ind w:firstLineChars="200" w:firstLine="640"/>
        <w:rPr>
          <w:rFonts w:ascii="宋体" w:hAnsi="宋体" w:cs="宋体"/>
          <w:color w:val="333333"/>
          <w:kern w:val="0"/>
          <w:sz w:val="28"/>
          <w:szCs w:val="28"/>
          <w:shd w:val="clear" w:color="auto" w:fill="FFFFFF"/>
        </w:rPr>
      </w:pPr>
      <w:r>
        <w:rPr>
          <w:rFonts w:ascii="楷体_GB2312" w:eastAsia="楷体_GB2312" w:hAnsi="楷体_GB2312" w:cs="楷体_GB2312" w:hint="eastAsia"/>
          <w:sz w:val="32"/>
          <w:szCs w:val="32"/>
        </w:rPr>
        <w:t>（二）公共安全（类）检察（款）行政运行（项）：</w:t>
      </w:r>
      <w:r>
        <w:rPr>
          <w:rFonts w:ascii="仿宋_GB2312" w:eastAsia="仿宋_GB2312" w:hAnsi="仿宋_GB2312" w:cs="仿宋_GB2312" w:hint="eastAsia"/>
          <w:sz w:val="32"/>
          <w:szCs w:val="32"/>
        </w:rPr>
        <w:t>指机关单位用于保障机构正常运行、开展日常工作的基本支出。</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（三）公共安全（类）检察（款）事业运行（项）：</w:t>
      </w:r>
      <w:r>
        <w:rPr>
          <w:rFonts w:ascii="仿宋_GB2312" w:eastAsia="仿宋_GB2312" w:hAnsi="仿宋_GB2312" w:cs="仿宋_GB2312" w:hint="eastAsia"/>
          <w:sz w:val="32"/>
          <w:szCs w:val="32"/>
        </w:rPr>
        <w:t>指事业单位用于保障机构正常运行、开展日常工作的基本支出。</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（四）公共安全（类）检察（款）一般行政管理事务（项）：</w:t>
      </w:r>
      <w:r>
        <w:rPr>
          <w:rFonts w:ascii="仿宋_GB2312" w:eastAsia="仿宋_GB2312" w:hAnsi="仿宋_GB2312" w:cs="仿宋_GB2312" w:hint="eastAsia"/>
          <w:sz w:val="32"/>
          <w:szCs w:val="32"/>
        </w:rPr>
        <w:t>指机关单位开展</w:t>
      </w:r>
      <w:r>
        <w:rPr>
          <w:rFonts w:ascii="仿宋_GB2312" w:eastAsia="仿宋_GB2312" w:hAnsi="宋体" w:cs="宋体" w:hint="eastAsia"/>
          <w:color w:val="333333"/>
          <w:kern w:val="0"/>
          <w:sz w:val="32"/>
          <w:szCs w:val="32"/>
          <w:shd w:val="clear" w:color="auto" w:fill="FFFFFF"/>
        </w:rPr>
        <w:t>检察业务工作的项目支出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（五）社会保障和就业（类）行政事业单位养老支出（款）机关事业单位基本养老保险缴费支出（项）：</w:t>
      </w:r>
      <w:r>
        <w:rPr>
          <w:rFonts w:ascii="仿宋_GB2312" w:eastAsia="仿宋_GB2312" w:hAnsi="仿宋_GB2312" w:cs="仿宋_GB2312" w:hint="eastAsia"/>
          <w:sz w:val="32"/>
          <w:szCs w:val="32"/>
        </w:rPr>
        <w:t>指部门实施养老保险制度由单位缴纳的养老保险的支出。</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（六）社会保障和就业（类）其他社会保障和就业支出（款）其他社会保障和就业支出（项）：</w:t>
      </w:r>
      <w:r>
        <w:rPr>
          <w:rFonts w:ascii="仿宋_GB2312" w:eastAsia="仿宋_GB2312" w:hAnsi="宋体" w:cs="宋体" w:hint="eastAsia"/>
          <w:color w:val="333333"/>
          <w:kern w:val="0"/>
          <w:sz w:val="32"/>
          <w:szCs w:val="32"/>
          <w:shd w:val="clear" w:color="auto" w:fill="FFFFFF"/>
        </w:rPr>
        <w:t>指部门实施养老保险制度由单位缴纳的生育保险、工伤保险和失业保险支出。</w:t>
      </w:r>
      <w:r>
        <w:rPr>
          <w:rFonts w:ascii="宋体" w:hAnsi="宋体" w:cs="宋体" w:hint="eastAsia"/>
          <w:color w:val="333333"/>
          <w:kern w:val="0"/>
          <w:sz w:val="28"/>
          <w:szCs w:val="28"/>
          <w:shd w:val="clear" w:color="auto" w:fill="FFFFFF"/>
        </w:rPr>
        <w:t xml:space="preserve">　</w:t>
      </w:r>
    </w:p>
    <w:p w:rsidR="00715D0F" w:rsidRDefault="00A941E1">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（七）卫生健康（类）行政事业单位医疗（款）行政单位医疗（项）：</w:t>
      </w:r>
      <w:r>
        <w:rPr>
          <w:rFonts w:ascii="仿宋_GB2312" w:eastAsia="仿宋_GB2312" w:hAnsi="仿宋_GB2312" w:cs="仿宋_GB2312" w:hint="eastAsia"/>
          <w:sz w:val="32"/>
          <w:szCs w:val="32"/>
        </w:rPr>
        <w:t>指机关单位及参公管理事业单位用于单位应缴纳基本医疗保险支出。</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lastRenderedPageBreak/>
        <w:t xml:space="preserve">　　</w:t>
      </w:r>
      <w:r>
        <w:rPr>
          <w:rFonts w:ascii="楷体_GB2312" w:eastAsia="楷体_GB2312" w:hAnsi="楷体_GB2312" w:cs="楷体_GB2312" w:hint="eastAsia"/>
          <w:sz w:val="32"/>
          <w:szCs w:val="32"/>
        </w:rPr>
        <w:t>（八）住房保障（类）住房改革支出（款）住房公积金（项）：</w:t>
      </w:r>
      <w:r>
        <w:rPr>
          <w:rFonts w:ascii="仿宋_GB2312" w:eastAsia="仿宋_GB2312" w:hAnsi="仿宋_GB2312" w:cs="仿宋_GB2312" w:hint="eastAsia"/>
          <w:sz w:val="32"/>
          <w:szCs w:val="32"/>
        </w:rPr>
        <w:t>指按照《住房公积金管理条例》的规定，由单位及其在职职工缴存的长期住房储金。</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（九）基本支出：</w:t>
      </w:r>
      <w:r>
        <w:rPr>
          <w:rFonts w:ascii="仿宋_GB2312" w:eastAsia="仿宋_GB2312" w:hAnsi="仿宋_GB2312" w:cs="仿宋_GB2312" w:hint="eastAsia"/>
          <w:sz w:val="32"/>
          <w:szCs w:val="32"/>
        </w:rPr>
        <w:t>指为保证机构正常运转</w:t>
      </w:r>
      <w:r>
        <w:rPr>
          <w:rFonts w:ascii="仿宋_GB2312" w:eastAsia="仿宋_GB2312" w:hAnsi="仿宋_GB2312" w:cs="仿宋_GB2312" w:hint="eastAsia"/>
          <w:sz w:val="32"/>
          <w:szCs w:val="32"/>
        </w:rPr>
        <w:t>，完成日常工作任务而发生的人员支出和公用支出。</w:t>
      </w:r>
      <w:r>
        <w:rPr>
          <w:rFonts w:ascii="仿宋_GB2312" w:eastAsia="仿宋_GB2312" w:hAnsi="仿宋_GB2312" w:cs="仿宋_GB2312" w:hint="eastAsia"/>
          <w:sz w:val="32"/>
          <w:szCs w:val="32"/>
        </w:rPr>
        <w:br/>
      </w:r>
      <w:r>
        <w:rPr>
          <w:rFonts w:ascii="仿宋_GB2312" w:eastAsia="仿宋_GB2312" w:hAnsi="仿宋_GB2312" w:cs="仿宋_GB2312" w:hint="eastAsia"/>
          <w:sz w:val="32"/>
          <w:szCs w:val="32"/>
        </w:rPr>
        <w:t xml:space="preserve">　　</w:t>
      </w:r>
      <w:r>
        <w:rPr>
          <w:rFonts w:ascii="楷体_GB2312" w:eastAsia="楷体_GB2312" w:hAnsi="楷体_GB2312" w:cs="楷体_GB2312" w:hint="eastAsia"/>
          <w:sz w:val="32"/>
          <w:szCs w:val="32"/>
        </w:rPr>
        <w:t>（十）项目支出：</w:t>
      </w:r>
      <w:r>
        <w:rPr>
          <w:rFonts w:ascii="仿宋_GB2312" w:eastAsia="仿宋_GB2312" w:hAnsi="仿宋_GB2312" w:cs="仿宋_GB2312" w:hint="eastAsia"/>
          <w:sz w:val="32"/>
          <w:szCs w:val="32"/>
        </w:rPr>
        <w:t>指在基本支出之外为完成特定行政任务和事业发展目标所发生的支出。</w:t>
      </w:r>
    </w:p>
    <w:p w:rsidR="00715D0F" w:rsidRDefault="00A941E1">
      <w:pPr>
        <w:spacing w:line="576"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（十一）“三公”经费：</w:t>
      </w:r>
      <w:r>
        <w:rPr>
          <w:rFonts w:ascii="仿宋_GB2312" w:eastAsia="仿宋_GB2312" w:hAnsi="仿宋_GB2312" w:cs="仿宋_GB2312" w:hint="eastAsia"/>
          <w:sz w:val="32"/>
          <w:szCs w:val="32"/>
        </w:rPr>
        <w:t>纳入市级财政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w:t>
      </w:r>
      <w:r>
        <w:rPr>
          <w:rFonts w:ascii="仿宋_GB2312" w:eastAsia="仿宋_GB2312" w:hAnsi="仿宋_GB2312" w:cs="仿宋_GB2312" w:hint="eastAsia"/>
          <w:sz w:val="32"/>
          <w:szCs w:val="32"/>
        </w:rPr>
        <w:t>按规定开支的各类公务接待（含外宾接待）支出。</w:t>
      </w:r>
      <w:r>
        <w:rPr>
          <w:rFonts w:ascii="仿宋_GB2312" w:eastAsia="仿宋_GB2312" w:hAnsi="仿宋_GB2312" w:cs="仿宋_GB2312" w:hint="eastAsia"/>
          <w:sz w:val="32"/>
          <w:szCs w:val="32"/>
        </w:rPr>
        <w:br/>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（十二）机关运行经费：</w:t>
      </w:r>
      <w:r>
        <w:rPr>
          <w:rFonts w:ascii="仿宋_GB2312" w:eastAsia="仿宋_GB2312" w:hAnsi="仿宋_GB2312" w:cs="仿宋_GB2312" w:hint="eastAsia"/>
          <w:sz w:val="32"/>
          <w:szCs w:val="32"/>
        </w:rPr>
        <w:t>为保障行政单位（包括参照公务员法管理的事业单位）运行用于购买货物和服务的各项资金，包括办公及印刷费、邮电费、差旅费、会议费、培训费、福利费、日常维修费、专用材料及一般设备购置费、办公用房水电费、办公用房物业管理费、公务用车运行维护费以及其他费用。</w:t>
      </w:r>
    </w:p>
    <w:p w:rsidR="00715D0F" w:rsidRDefault="00715D0F">
      <w:pPr>
        <w:spacing w:line="576" w:lineRule="exact"/>
        <w:ind w:firstLineChars="200" w:firstLine="640"/>
        <w:rPr>
          <w:rFonts w:ascii="仿宋_GB2312" w:eastAsia="仿宋_GB2312" w:hAnsi="仿宋_GB2312" w:cs="仿宋_GB2312"/>
          <w:sz w:val="32"/>
          <w:szCs w:val="32"/>
        </w:rPr>
      </w:pPr>
    </w:p>
    <w:p w:rsidR="00715D0F" w:rsidRDefault="00A941E1">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附件：部门预算公开表</w:t>
      </w:r>
    </w:p>
    <w:p w:rsidR="00715D0F" w:rsidRDefault="00715D0F">
      <w:pPr>
        <w:spacing w:line="576" w:lineRule="exact"/>
        <w:rPr>
          <w:rFonts w:ascii="仿宋_GB2312" w:eastAsia="仿宋_GB2312" w:hAnsi="仿宋_GB2312" w:cs="仿宋_GB2312"/>
          <w:sz w:val="32"/>
          <w:szCs w:val="32"/>
        </w:rPr>
      </w:pPr>
    </w:p>
    <w:sectPr w:rsidR="00715D0F" w:rsidSect="00715D0F">
      <w:footerReference w:type="default" r:id="rId8"/>
      <w:pgSz w:w="11906" w:h="16838"/>
      <w:pgMar w:top="2098" w:right="1474" w:bottom="1984" w:left="1587" w:header="720" w:footer="1559"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1E1" w:rsidRDefault="00A941E1" w:rsidP="00715D0F">
      <w:r>
        <w:separator/>
      </w:r>
    </w:p>
  </w:endnote>
  <w:endnote w:type="continuationSeparator" w:id="1">
    <w:p w:rsidR="00A941E1" w:rsidRDefault="00A941E1" w:rsidP="00715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Liberation Sans">
    <w:altName w:val="Arial Unicode MS"/>
    <w:charset w:val="00"/>
    <w:family w:val="swiss"/>
    <w:pitch w:val="default"/>
    <w:sig w:usb0="00000001" w:usb1="500078FB" w:usb2="00000000" w:usb3="00000000" w:csb0="6000009F" w:csb1="DFD70000"/>
  </w:font>
  <w:font w:name="Noto Sans CJK SC Regular">
    <w:altName w:val="Arial Unicode MS"/>
    <w:charset w:val="86"/>
    <w:family w:val="auto"/>
    <w:pitch w:val="default"/>
    <w:sig w:usb0="00000000" w:usb1="2BDF3C10" w:usb2="00000016" w:usb3="00000000" w:csb0="602E0107"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D0F" w:rsidRDefault="00715D0F">
    <w:pPr>
      <w:pStyle w:val="a6"/>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M6p&#10;ebnPAAAABQEAAA8AAAAAAAAAAQAgAAAAOAAAAGRycy9kb3ducmV2LnhtbFBLAQIUABQAAAAIAIdO&#10;4kBteV5o3QEAAL4DAAAOAAAAAAAAAAEAIAAAADQBAABkcnMvZTJvRG9jLnhtbFBLBQYAAAAABgAG&#10;AFkBAACDBQAAAAA=&#10;" filled="f" stroked="f">
          <v:textbox style="mso-fit-shape-to-text:t" inset="0,0,0,0">
            <w:txbxContent>
              <w:p w:rsidR="00715D0F" w:rsidRDefault="00A941E1">
                <w:pPr>
                  <w:pStyle w:val="a6"/>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715D0F">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715D0F">
                  <w:rPr>
                    <w:rFonts w:ascii="宋体" w:hAnsi="宋体" w:cs="宋体" w:hint="eastAsia"/>
                    <w:sz w:val="28"/>
                    <w:szCs w:val="28"/>
                  </w:rPr>
                  <w:fldChar w:fldCharType="separate"/>
                </w:r>
                <w:r w:rsidR="00B7272B">
                  <w:rPr>
                    <w:rFonts w:ascii="宋体" w:hAnsi="宋体" w:cs="宋体"/>
                    <w:noProof/>
                    <w:sz w:val="28"/>
                    <w:szCs w:val="28"/>
                  </w:rPr>
                  <w:t>1</w:t>
                </w:r>
                <w:r w:rsidR="00715D0F">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1E1" w:rsidRDefault="00A941E1" w:rsidP="00715D0F">
      <w:r>
        <w:separator/>
      </w:r>
    </w:p>
  </w:footnote>
  <w:footnote w:type="continuationSeparator" w:id="1">
    <w:p w:rsidR="00A941E1" w:rsidRDefault="00A941E1" w:rsidP="00715D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CE1D6"/>
    <w:multiLevelType w:val="singleLevel"/>
    <w:tmpl w:val="5BFCE1D6"/>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420"/>
  <w:drawingGridHorizontalSpacing w:val="1"/>
  <w:drawingGridVerticalSpacing w:val="1"/>
  <w:displayHorizontalDrawingGridEvery w:val="0"/>
  <w:displayVerticalDrawingGridEvery w:val="2"/>
  <w:doNotUseMarginsForDrawingGridOrigin/>
  <w:drawingGridHorizontalOrigin w:val="0"/>
  <w:drawingGridVerticalOrigin w:val="0"/>
  <w:characterSpacingControl w:val="compressPunctuation"/>
  <w:doNotValidateAgainstSchema/>
  <w:doNotDemarcateInvalidXml/>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c5MTc1YWUzNDk5OThmNzcwNDRiNmRkMjhiZTRiMmMifQ=="/>
  </w:docVars>
  <w:rsids>
    <w:rsidRoot w:val="00B41BA6"/>
    <w:rsid w:val="9FEF033D"/>
    <w:rsid w:val="A27FF1E5"/>
    <w:rsid w:val="AB7EBE2A"/>
    <w:rsid w:val="AFDEB5A7"/>
    <w:rsid w:val="AFEA7FBF"/>
    <w:rsid w:val="B0FD1A79"/>
    <w:rsid w:val="B83F4767"/>
    <w:rsid w:val="BB74324C"/>
    <w:rsid w:val="BF930F07"/>
    <w:rsid w:val="BFCE8436"/>
    <w:rsid w:val="C3F7EB7A"/>
    <w:rsid w:val="CFF5FEEC"/>
    <w:rsid w:val="D3DD9064"/>
    <w:rsid w:val="D6F76A0C"/>
    <w:rsid w:val="D7ECE8D2"/>
    <w:rsid w:val="DFDD4FB5"/>
    <w:rsid w:val="E7F748B5"/>
    <w:rsid w:val="ECFFD554"/>
    <w:rsid w:val="EE5F3713"/>
    <w:rsid w:val="EFC9D62C"/>
    <w:rsid w:val="F6BE9755"/>
    <w:rsid w:val="F6FFA89B"/>
    <w:rsid w:val="F9B62838"/>
    <w:rsid w:val="F9DF9DF9"/>
    <w:rsid w:val="FAE4EFE1"/>
    <w:rsid w:val="FB9B6F12"/>
    <w:rsid w:val="FBB66A4A"/>
    <w:rsid w:val="FDEE6989"/>
    <w:rsid w:val="FF5E7DB8"/>
    <w:rsid w:val="FF77E367"/>
    <w:rsid w:val="FFD576EB"/>
    <w:rsid w:val="FFFBE8B7"/>
    <w:rsid w:val="0001731F"/>
    <w:rsid w:val="000532C3"/>
    <w:rsid w:val="000573BD"/>
    <w:rsid w:val="00065E40"/>
    <w:rsid w:val="0009463E"/>
    <w:rsid w:val="00114DC1"/>
    <w:rsid w:val="0017376A"/>
    <w:rsid w:val="001810AF"/>
    <w:rsid w:val="001A1091"/>
    <w:rsid w:val="001B5375"/>
    <w:rsid w:val="001C1617"/>
    <w:rsid w:val="001C4A31"/>
    <w:rsid w:val="001F3453"/>
    <w:rsid w:val="00213AEA"/>
    <w:rsid w:val="002406F4"/>
    <w:rsid w:val="002514B5"/>
    <w:rsid w:val="0026597D"/>
    <w:rsid w:val="0027213B"/>
    <w:rsid w:val="00296244"/>
    <w:rsid w:val="002A496C"/>
    <w:rsid w:val="002E040B"/>
    <w:rsid w:val="002E11C2"/>
    <w:rsid w:val="002E6C4E"/>
    <w:rsid w:val="002E7E3C"/>
    <w:rsid w:val="003042E0"/>
    <w:rsid w:val="00311A92"/>
    <w:rsid w:val="00325433"/>
    <w:rsid w:val="00367156"/>
    <w:rsid w:val="003714B6"/>
    <w:rsid w:val="003B7A60"/>
    <w:rsid w:val="003E6B71"/>
    <w:rsid w:val="00405429"/>
    <w:rsid w:val="004100FB"/>
    <w:rsid w:val="00413AA7"/>
    <w:rsid w:val="004949E0"/>
    <w:rsid w:val="004B14F4"/>
    <w:rsid w:val="005462F3"/>
    <w:rsid w:val="00562EE6"/>
    <w:rsid w:val="005844CC"/>
    <w:rsid w:val="005A3FD7"/>
    <w:rsid w:val="005C3F31"/>
    <w:rsid w:val="005D1DD1"/>
    <w:rsid w:val="006212AD"/>
    <w:rsid w:val="0065295F"/>
    <w:rsid w:val="0069287C"/>
    <w:rsid w:val="00715D0F"/>
    <w:rsid w:val="007210F5"/>
    <w:rsid w:val="00726F7D"/>
    <w:rsid w:val="00771BDF"/>
    <w:rsid w:val="007A2500"/>
    <w:rsid w:val="007A4740"/>
    <w:rsid w:val="007B0682"/>
    <w:rsid w:val="007B07B4"/>
    <w:rsid w:val="007B17C6"/>
    <w:rsid w:val="00881657"/>
    <w:rsid w:val="008D1B07"/>
    <w:rsid w:val="009B6215"/>
    <w:rsid w:val="009D3D97"/>
    <w:rsid w:val="009F036D"/>
    <w:rsid w:val="00A06B2F"/>
    <w:rsid w:val="00A941E1"/>
    <w:rsid w:val="00AB2E95"/>
    <w:rsid w:val="00B07A15"/>
    <w:rsid w:val="00B41BA6"/>
    <w:rsid w:val="00B629FF"/>
    <w:rsid w:val="00B672C8"/>
    <w:rsid w:val="00B72513"/>
    <w:rsid w:val="00B7272B"/>
    <w:rsid w:val="00BF372B"/>
    <w:rsid w:val="00C03F27"/>
    <w:rsid w:val="00C127CC"/>
    <w:rsid w:val="00C25D1A"/>
    <w:rsid w:val="00C25D53"/>
    <w:rsid w:val="00C65CEA"/>
    <w:rsid w:val="00C9389C"/>
    <w:rsid w:val="00CA2465"/>
    <w:rsid w:val="00CC145B"/>
    <w:rsid w:val="00D00238"/>
    <w:rsid w:val="00D75E7F"/>
    <w:rsid w:val="00D84F49"/>
    <w:rsid w:val="00DC1649"/>
    <w:rsid w:val="00DD305B"/>
    <w:rsid w:val="00DE3F8B"/>
    <w:rsid w:val="00DE4F63"/>
    <w:rsid w:val="00DE55D1"/>
    <w:rsid w:val="00EC22F9"/>
    <w:rsid w:val="00EE361A"/>
    <w:rsid w:val="00EF75C4"/>
    <w:rsid w:val="00F04E8F"/>
    <w:rsid w:val="00F561EF"/>
    <w:rsid w:val="00F56ACB"/>
    <w:rsid w:val="00F61D6C"/>
    <w:rsid w:val="00F91B13"/>
    <w:rsid w:val="00F93153"/>
    <w:rsid w:val="00FB5DC3"/>
    <w:rsid w:val="00FC4781"/>
    <w:rsid w:val="00FD4C4D"/>
    <w:rsid w:val="012352D1"/>
    <w:rsid w:val="1F7BF06F"/>
    <w:rsid w:val="1FEE4B73"/>
    <w:rsid w:val="23CE9849"/>
    <w:rsid w:val="39F304DD"/>
    <w:rsid w:val="3FFA12E4"/>
    <w:rsid w:val="54244390"/>
    <w:rsid w:val="54662A63"/>
    <w:rsid w:val="58064E12"/>
    <w:rsid w:val="5BFEE015"/>
    <w:rsid w:val="5FD3E912"/>
    <w:rsid w:val="63EDCF55"/>
    <w:rsid w:val="63FBFBCF"/>
    <w:rsid w:val="669360FD"/>
    <w:rsid w:val="68FF6A83"/>
    <w:rsid w:val="6FAFE1F0"/>
    <w:rsid w:val="6FBBC9CF"/>
    <w:rsid w:val="72BDE561"/>
    <w:rsid w:val="76DF098F"/>
    <w:rsid w:val="78462278"/>
    <w:rsid w:val="7997EA6C"/>
    <w:rsid w:val="7AEAE675"/>
    <w:rsid w:val="7BAFCE5D"/>
    <w:rsid w:val="7D46598C"/>
    <w:rsid w:val="7DFB240B"/>
    <w:rsid w:val="7DFD485B"/>
    <w:rsid w:val="7E0935ED"/>
    <w:rsid w:val="7FCF2A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5D0F"/>
    <w:pPr>
      <w:widowControl w:val="0"/>
      <w:suppressAutoHyphens/>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715D0F"/>
    <w:pPr>
      <w:suppressLineNumbers/>
      <w:spacing w:before="120" w:after="120"/>
    </w:pPr>
    <w:rPr>
      <w:i/>
      <w:iCs/>
      <w:sz w:val="24"/>
    </w:rPr>
  </w:style>
  <w:style w:type="paragraph" w:styleId="a4">
    <w:name w:val="Body Text"/>
    <w:basedOn w:val="a"/>
    <w:qFormat/>
    <w:rsid w:val="00715D0F"/>
    <w:pPr>
      <w:spacing w:after="140" w:line="276" w:lineRule="auto"/>
    </w:pPr>
  </w:style>
  <w:style w:type="paragraph" w:styleId="a5">
    <w:name w:val="Body Text Indent"/>
    <w:basedOn w:val="a"/>
    <w:link w:val="Char"/>
    <w:qFormat/>
    <w:rsid w:val="00715D0F"/>
    <w:pPr>
      <w:spacing w:after="120"/>
      <w:ind w:leftChars="200" w:left="420"/>
    </w:pPr>
  </w:style>
  <w:style w:type="paragraph" w:styleId="a6">
    <w:name w:val="footer"/>
    <w:basedOn w:val="a"/>
    <w:uiPriority w:val="99"/>
    <w:qFormat/>
    <w:rsid w:val="00715D0F"/>
    <w:pPr>
      <w:tabs>
        <w:tab w:val="center" w:pos="4153"/>
        <w:tab w:val="right" w:pos="8306"/>
      </w:tabs>
      <w:snapToGrid w:val="0"/>
      <w:jc w:val="left"/>
    </w:pPr>
    <w:rPr>
      <w:sz w:val="18"/>
    </w:rPr>
  </w:style>
  <w:style w:type="paragraph" w:styleId="a7">
    <w:name w:val="header"/>
    <w:basedOn w:val="a"/>
    <w:qFormat/>
    <w:rsid w:val="00715D0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List"/>
    <w:basedOn w:val="a4"/>
    <w:qFormat/>
    <w:rsid w:val="00715D0F"/>
  </w:style>
  <w:style w:type="paragraph" w:styleId="a9">
    <w:name w:val="Normal (Web)"/>
    <w:basedOn w:val="a"/>
    <w:qFormat/>
    <w:rsid w:val="00715D0F"/>
    <w:rPr>
      <w:sz w:val="24"/>
    </w:rPr>
  </w:style>
  <w:style w:type="character" w:customStyle="1" w:styleId="1">
    <w:name w:val="默认段落字体1"/>
    <w:qFormat/>
    <w:rsid w:val="00715D0F"/>
  </w:style>
  <w:style w:type="paragraph" w:customStyle="1" w:styleId="Heading">
    <w:name w:val="Heading"/>
    <w:basedOn w:val="a"/>
    <w:next w:val="a4"/>
    <w:qFormat/>
    <w:rsid w:val="00715D0F"/>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rsid w:val="00715D0F"/>
    <w:pPr>
      <w:suppressLineNumbers/>
    </w:pPr>
  </w:style>
  <w:style w:type="character" w:customStyle="1" w:styleId="Char">
    <w:name w:val="正文文本缩进 Char"/>
    <w:basedOn w:val="a0"/>
    <w:link w:val="a5"/>
    <w:qFormat/>
    <w:rsid w:val="00715D0F"/>
    <w:rPr>
      <w:rFonts w:ascii="Calibri" w:hAnsi="Calibri"/>
      <w:kern w:val="2"/>
      <w:sz w:val="21"/>
      <w:szCs w:val="24"/>
    </w:rPr>
  </w:style>
  <w:style w:type="paragraph" w:customStyle="1" w:styleId="WPSOffice1">
    <w:name w:val="WPSOffice手动目录 1"/>
    <w:qFormat/>
    <w:rsid w:val="00715D0F"/>
  </w:style>
  <w:style w:type="paragraph" w:customStyle="1" w:styleId="WPSOffice2">
    <w:name w:val="WPSOffice手动目录 2"/>
    <w:qFormat/>
    <w:rsid w:val="00715D0F"/>
    <w:pPr>
      <w:ind w:leftChars="200"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1063</Words>
  <Characters>6063</Characters>
  <Application>Microsoft Office Word</Application>
  <DocSecurity>0</DocSecurity>
  <Lines>50</Lines>
  <Paragraphs>14</Paragraphs>
  <ScaleCrop>false</ScaleCrop>
  <Company/>
  <LinksUpToDate>false</LinksUpToDate>
  <CharactersWithSpaces>7112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2024-02-18T02:43:00Z</dcterms:created>
  <dcterms:modified xsi:type="dcterms:W3CDTF">2024-02-18T02:43:00Z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2052-11.8.2.1125</vt:lpwstr>
  </property>
  <property fmtid="{D5CDD505-2E9C-101B-9397-08002B2CF9AE}" pid="3" name="ICV">
    <vt:lpwstr>96081F72B7444D3C8C1C7DDAED24732C_13</vt:lpwstr>
  </property>
</Properties>
</file>