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b/>
          <w:bCs/>
          <w:i w:val="0"/>
          <w:iCs w:val="0"/>
          <w:caps w:val="0"/>
          <w:color w:val="0066B1"/>
          <w:spacing w:val="0"/>
          <w:kern w:val="0"/>
          <w:sz w:val="33"/>
          <w:szCs w:val="33"/>
          <w:shd w:val="clear" w:color="auto" w:fill="FFFFFF"/>
          <w:lang w:val="en-US" w:eastAsia="zh-CN" w:bidi="ar"/>
        </w:rPr>
      </w:pPr>
      <w:bookmarkStart w:id="0" w:name="_GoBack"/>
      <w:bookmarkEnd w:id="0"/>
      <w:r>
        <w:rPr>
          <w:rFonts w:ascii="微软雅黑" w:hAnsi="微软雅黑" w:eastAsia="微软雅黑" w:cs="微软雅黑"/>
          <w:b/>
          <w:bCs/>
          <w:i w:val="0"/>
          <w:iCs w:val="0"/>
          <w:caps w:val="0"/>
          <w:color w:val="0066B1"/>
          <w:spacing w:val="0"/>
          <w:kern w:val="0"/>
          <w:sz w:val="33"/>
          <w:szCs w:val="33"/>
          <w:shd w:val="clear" w:color="auto" w:fill="FFFFFF"/>
          <w:lang w:val="en-US" w:eastAsia="zh-CN" w:bidi="ar"/>
        </w:rPr>
        <w:t>旺苍县人民检察院2022年部门预算编制说明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Calibri" w:hAnsi="Calibri" w:cs="Calibri"/>
          <w:i w:val="0"/>
          <w:iCs w:val="0"/>
          <w:caps w:val="0"/>
          <w:color w:val="000000"/>
          <w:spacing w:val="0"/>
          <w:sz w:val="21"/>
          <w:szCs w:val="21"/>
        </w:rPr>
      </w:pPr>
      <w:r>
        <w:rPr>
          <w:rFonts w:ascii="微软雅黑" w:hAnsi="微软雅黑" w:eastAsia="微软雅黑" w:cs="微软雅黑"/>
          <w:i w:val="0"/>
          <w:iCs w:val="0"/>
          <w:caps w:val="0"/>
          <w:color w:val="000000"/>
          <w:spacing w:val="0"/>
          <w:kern w:val="0"/>
          <w:sz w:val="27"/>
          <w:szCs w:val="27"/>
          <w:shd w:val="clear" w:color="auto"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（一）单位职能简介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（二）单位2022年重点工作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三、收支预算情况说明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四、财政拨款收支预算情况说明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五、一般公共预算当年拨款情况说明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（二）一般公共预算当年拨款结构情况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（三）一般公共预算当年拨款具体使用情况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六、一般公共预算基本支出情况说明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七、“三公”经费财政拨款预算安排情况说明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（一）公务接待费与2021年预算相比。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（二）公务用车购置及运行维护费与2021年预算相比。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8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（三）因公出国（境）经费与2021年预算相比。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八、政府性基金预算支出情况说明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九、国有资本经营预算支出情况说明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default" w:ascii="微软雅黑" w:hAnsi="微软雅黑" w:eastAsia="微软雅黑" w:cs="微软雅黑"/>
          <w:i w:val="0"/>
          <w:iCs w:val="0"/>
          <w:caps w:val="0"/>
          <w:color w:val="000000"/>
          <w:spacing w:val="0"/>
          <w:kern w:val="0"/>
          <w:sz w:val="27"/>
          <w:szCs w:val="27"/>
          <w:shd w:val="clear" w:color="auto" w:fill="FFFFFF"/>
          <w:lang w:val="en-US" w:eastAsia="zh-CN" w:bidi="ar"/>
        </w:rPr>
        <w:t>十一、名词解释</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（一）旺苍县人民检察院职能简介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人民检察院是国家的法律监督机关。人民检察院通过依法独立行使检察权，监督法律实施，惩罚犯罪活动，保护国家安全、人民民主专政政权和社会主义制度，保护公民、法人和其他组织的合法权益，维护国家法律的统一和正确实施。旺苍县人民检察院接受县委和上级检察机关的领导，对旺苍县人民代表大会及其常委会负责并报告工作，接受监督，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（二）旺苍县人民检察院2022年重点工作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坚持以习近平新时代中国特色社会主义思想为指导，全面贯彻习近平法治思想，深入学习领会“两个确立”的决定性意义，持续深入落实党中央《意见》和省委《关于加强新时代检察机关法律监督工作的若干措施》，围绕县委“生态优先、创新驱动、转型发展、共同富裕”发展思路，聚焦“3691”重点工作布局，以强作风、重落实、提效能为导向，全面提升新时代检察工作水平，为全面建设社会主义现代化“红色旺苍、中国茶乡”提供更加有力的司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坚持“稳字当头”，以更实举措维护平安稳定。筑牢国家安全人民防线，深化、做实维护政治安全“四大工程”。常态化开展扫黑除恶斗争，坚决打击严重暴力犯罪，切实增强人民群众安全感。加强反腐败工作，加大行贿犯罪惩治力度。用心用情依法办案，规范认罪认罚从宽制度适用，贯彻落实少捕慎诉慎押刑事司法政策，综合运用刑事和解、检调对接、释法说理等方式，实现“三个效果”有机统一，最大限度减少社会对立面。加强苗头性、倾向性案件及类案研判，促进抓源治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坚持“能动履职”，以更高站位服务发展大局。促进优化法治化营商环境，建立健全检察官联系商会、企业制度，积极稳妥探索涉案企业合规监管整改。服务创新驱动发展，深化知识产权综合保护，抓实“米仓山茶”品牌保护协作机制。服务防范化解经济金融风险，从严惩治各类非法集资犯罪、涉金融信贷领域犯罪，依法惩治逃骗税犯罪，积极协助追赃挽损。扎实办好检察为民实事，狠抓件件有回复、首次信访案件院领导包案、公开听证、支持农民工起诉维权，纾解人民群众急难愁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坚持“止于至善”，以更新理念深耕法律监督。加强刑事检察监督，贯彻落实侦查监督与协作配合机制，强化“两法衔接”，加大刑罚执行监督力度。加强民事检察监督，持续深入推进虚假诉讼常态化监督。加强行政检察监督，构建行政诉讼监督、行政违法行为监督与行政争议实质性化解有机融合的监督格局。加强公益诉讼，严格落实“4+5”法定责任，积极稳妥办理网络治理、妇女权益保障等拓展领域案件，抓好诉前检察建议整改落实情况“回头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四、坚持“自我革命”，以更严要求加强队伍建设。抓住“质量建设年”契机，推进检察工作高质量发展。常态化开展党史学习教育，弘扬伟大建党精神。巩固深化政法队伍教育整顿成果，从严执行“三个规定”。加强科学管理，充分发挥案件质量评价指标、检察人员绩效考核的“指挥棒”作用，全面提升检察生产力、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旺苍县人民检察院无下属二级预算单位。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按照综合预算的原则，旺苍县人民检察院所有收入和支出均纳入部门预算管理。收入包括：一般公共预算拨款收入。支出包括：公共安全支出、社会保障和就业支出、卫生健康支出、住房保障支出。旺苍县人民检察院2022年收支总预算869.38万元，比2021年收支预算总数增加268.96万元，扣除上年结转资金、一次性安排等因素后，同口径增加268.96万元，主要原因是由于省以下地方检察院财物统一管理改革，保障标准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（一）收入预算情况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旺苍县人民检察院2022年收入预算869.38万元，其中：一般公共预算拨款收入869.38万元，占100%。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（二）支出预算情况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旺苍县人民检察院2022年支出预算869.38万元，其中：基本支出638.26万元，占73.4%；项目支出231.13万元，占26.6%。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四、财政拨款收支预算情况说明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财政拨款收支总预算869.38万元，比2021年财政拨款收支总预算增加268.96万元，扣除上年结转资金、一次性安排等因素后，同口径增加268.96万元，主要原因是由于省以下地方检察院财物统一管理改革，保障标准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收入包括：本年一般公共预算拨款收入869.38万元；支出包括：公共安全支出748.14万元、社会保障和就业支出52.07万元、卫生健康支出26.29万元、住房保障支出42.89万元。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五、一般公共预算当年拨款情况说明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（一）一般公共预算当年拨款规模变化情况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旺苍县人民检察院2022年一般公共预算当年拨款869.38万元，比2021年预算数增加268.96万元，主要原因是由于省以下地方检察院财物统一管理改革，保障标准发生改变。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（二）一般公共预算当年拨款结构情况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公共安全支出748.14万元，占86%；社会保障和就业支出52.07万元，占6%；卫生健康支出26.29万元，占3%；住房保障支出42.89万元，占5%。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（三）一般公共预算当年拨款具体使用情况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1.公共安全（类）检察院（款）行政运行（项）2022年预算数为517.01万元，主要用于：我院人员经费、日常公用经费支出。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2.公共安全（类）检察院（款）一般行政管理事务（项）2022年预算数为231.13万元，主要用于：我院检察监督、信息化建设、检察官培训等支出。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3.社会保障和就业（类）行政事业单位养老支出（款）机关事业单位基本养老保险缴费支出（项）2022年预算数为52.07万元，主要用于：实施养老保险制度由单位缴纳的基本养老保险支出。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4.卫生健康（类）行政事业单位医疗（款）行政单位医疗（项）2022年预算数为26.29万元，主要用于：机关及参公管理事业单位按规定由单位缴纳的基本医疗保险支出。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5.住房保障（类）住房改革支出（款）住房公积金（项）2022年预算数为42.89万元，主要用于：部门按规定为职工缴纳的住房公积金支出。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六、一般公共预算基本支出情况说明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旺苍县人民检察院2022年一般公共预算基本支出638.26万元，其中：人员经费522.34万元，主要包括：基本工资、津贴补贴、奖金、社会保险缴费、住房公积金等支出。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公用经费115.92万元，主要包括：办公费、印刷费、水费、电费、邮电费、物业管理费、差旅费、维修（护）费、会议费、培训费、公务接待费、劳务费、工会经费、福利费、公务用车运行维护费、其他交通费用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七、“三公”经费财政拨款预算安排情况说明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旺苍县人民检察院2022年“三公”经费财政拨款预算数38.2万元，其中：公务接待费12.3万元，公务用车购置及运行维护费25.9万元，因公出国（境）经费0万元。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（一）公务接待费较2021年预算持平。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2022年公务接待费计划用于执行接待考察调研、检查指导等公务活动开支的交通费、住宿费、用餐费等。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（二）公务用车购置及运行维护费与2021年预算持平。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单位现有公务用车6辆，其中：轿车4辆，旅行车（含商务车）0辆，越野车2辆。2022年年初预算公务用车购置费0万元，较2021年预算持平，原因是2022年年初暂无公务用车购置计划。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2022年安排公务用车运行维护费25.9万元，用于6辆公务用车燃油、过路（桥）、维修、保险等方面支出，主要保障日常办案业务需要。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（三）因公出国（境）费用与2021年预算持平。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2022年部门预算未编列因公出国（境）经费，未安排出国（境）任务和计划。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八、政府性基金预算支出情况说明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九、国有资本经营预算支出情况说明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旺苍县人民检察院2022年没有使用国有资本经营预算拨款安排的支出。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2022年，旺苍县人民检察院机关运行经费财政拨款预算为115.92万元，比2021年预算减少7.7万元，下降6.6%。主要原因是由于省以下地方检察院财物统一管理改革，保障标准发生改变。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2022年，旺苍县人民检察院2022年年初安排政府采购预算0万元。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截至2021年底，旺苍县人民检察院共有车辆6辆，其中，领导干部用车0辆、定向保障用车0辆、执法执勤用车6辆。单位价值50万元以上大型设备0台（套）。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（四）绩效目标设置情况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绩效目标是预算编制的前提和基础，2022年旺苍县人民检察院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十一、名词解释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（一）一般公共预算拨款收入：指市级财政当年拨付的资金。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（二）上年结转：指以前年度尚未完成，结转到本年仍按原规定用途继续使用的资金。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（三）公共安全（类）检察院（款）行政运行（项）：指机关单位用于保障机构正常运行、开展日常工作的基本支出。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（四）公共安全（类）检察院（款）一般行政管理事务（项）：指机关单位开展本院管理工作的项目支出。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（五）社会保障和就业（类）行政事业单位养老支出（款）事业单位离退休（项）：指事业单位离退休人员的支出。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（六）社会保障和就业（类）行政事业单位养老支出（款）行政单位离退休（项）：指行政及参公管理事业单位离退休人员的支出。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（七）社会保障和就业（类）行政事业单位养老支出（款）机关事业单位基本养老保险缴费支出（项）：指部门实施养老保险制度由单位缴纳的养老保险的支出。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（八）社会保障和就业（类）行政事业单位养老支出（款）机关事业单位职业年金缴费支出（项）：指部门实施养老保险制度由单位缴纳的职业年金的支出。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（九）卫生健康（类）行政事业单位医疗（款）行政单位医疗（项）：指机关及参公管理事业单位用于单位应缴纳基本医疗保险支出。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（十）卫生健康（类）行政事业单位医疗（款）事业单位医疗（项）：指事业单位用于单位应缴纳基本医疗保险支出。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（十一）卫生健康（类）行政事业单位医疗（款）公务员医疗补助（项）：指机关及参公管理事业单位用于集中缴纳公务员医疗补助支出。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（十二）住房保障（类）住房改革支出（款）住房公积金（项）：指按照《住房公积金管理条例》的规定，由单位及其在职职工缴存的长期住房储金。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（十三）基本支出：指为保证机构正常运转，完成日常工作任务而发生的人员支出和公用支出。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（十四）项目支出：指在基本支出之外为完成特定行政任务和事业发展目标所发生的支出。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五）“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十六）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附件1：部门预算公开表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微软雅黑" w:hAnsi="微软雅黑" w:eastAsia="微软雅黑" w:cs="微软雅黑"/>
          <w:i w:val="0"/>
          <w:iCs w:val="0"/>
          <w:caps w:val="0"/>
          <w:color w:val="000000"/>
          <w:spacing w:val="0"/>
          <w:sz w:val="24"/>
          <w:szCs w:val="24"/>
        </w:rPr>
      </w:pPr>
      <w:r>
        <w:rPr>
          <w:rFonts w:hint="default" w:ascii="微软雅黑" w:hAnsi="微软雅黑" w:eastAsia="微软雅黑" w:cs="微软雅黑"/>
          <w:i w:val="0"/>
          <w:iCs w:val="0"/>
          <w:caps w:val="0"/>
          <w:color w:val="000000"/>
          <w:spacing w:val="0"/>
          <w:sz w:val="27"/>
          <w:szCs w:val="27"/>
          <w:shd w:val="clear" w:color="auto" w:fill="FFFFFF"/>
        </w:rPr>
        <w:t>附件2：部门预算绩效目标表</w:t>
      </w:r>
    </w:p>
    <w:p>
      <w:pPr>
        <w:keepNext w:val="0"/>
        <w:keepLines w:val="0"/>
        <w:widowControl/>
        <w:suppressLineNumbers w:val="0"/>
        <w:jc w:val="center"/>
        <w:rPr>
          <w:rFonts w:ascii="微软雅黑" w:hAnsi="微软雅黑" w:eastAsia="微软雅黑" w:cs="微软雅黑"/>
          <w:b/>
          <w:bCs/>
          <w:i w:val="0"/>
          <w:iCs w:val="0"/>
          <w:caps w:val="0"/>
          <w:color w:val="0066B1"/>
          <w:spacing w:val="0"/>
          <w:kern w:val="0"/>
          <w:sz w:val="33"/>
          <w:szCs w:val="33"/>
          <w:shd w:val="clear" w:color="auto"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jY4ODU1ODY0YWNlNzRlNTA4ZTBlMjg5OWQ4MjcifQ=="/>
  </w:docVars>
  <w:rsids>
    <w:rsidRoot w:val="FB72DAF8"/>
    <w:rsid w:val="10770AA0"/>
    <w:rsid w:val="1AFB299E"/>
    <w:rsid w:val="FB72D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4694</Words>
  <Characters>4998</Characters>
  <Lines>0</Lines>
  <Paragraphs>0</Paragraphs>
  <TotalTime>55</TotalTime>
  <ScaleCrop>false</ScaleCrop>
  <LinksUpToDate>false</LinksUpToDate>
  <CharactersWithSpaces>5001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2022-11-02T11:19:00Z</dcterms:created>
  <dc:creator>user</dc:creator>
  <cp:lastModifiedBy>Nightmare</cp:lastModifiedBy>
  <dcterms:modified xsi:type="dcterms:W3CDTF">2023-06-30T01:01:15Z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D48272B528124121955AC5B3555E9334_13</vt:lpwstr>
  </property>
</Properties>
</file>