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ind w:left="0" w:right="0" w:firstLine="0"/>
        <w:jc w:val="center"/>
        <w:rPr>
          <w:rFonts w:hint="eastAsia" w:asciiTheme="majorEastAsia" w:hAnsiTheme="majorEastAsia" w:eastAsiaTheme="majorEastAsia" w:cstheme="majorEastAsia"/>
          <w:b/>
          <w:bCs/>
          <w:i w:val="0"/>
          <w:iCs w:val="0"/>
          <w:caps w:val="0"/>
          <w:color w:val="auto"/>
          <w:spacing w:val="0"/>
          <w:sz w:val="44"/>
          <w:szCs w:val="44"/>
        </w:rPr>
      </w:pPr>
      <w:r>
        <w:rPr>
          <w:rFonts w:hint="eastAsia" w:asciiTheme="majorEastAsia" w:hAnsiTheme="majorEastAsia" w:eastAsiaTheme="majorEastAsia" w:cstheme="majorEastAsia"/>
          <w:b/>
          <w:bCs/>
          <w:i w:val="0"/>
          <w:iCs w:val="0"/>
          <w:caps w:val="0"/>
          <w:color w:val="auto"/>
          <w:spacing w:val="0"/>
          <w:kern w:val="0"/>
          <w:sz w:val="44"/>
          <w:szCs w:val="44"/>
          <w:lang w:val="en-US" w:eastAsia="zh-CN" w:bidi="ar"/>
        </w:rPr>
        <w:t>受理信访事项范围</w:t>
      </w:r>
      <w:r>
        <w:rPr>
          <w:rFonts w:hint="eastAsia" w:asciiTheme="majorEastAsia" w:hAnsiTheme="majorEastAsia" w:eastAsiaTheme="majorEastAsia" w:cstheme="majorEastAsia"/>
          <w:b/>
          <w:bCs/>
          <w:i w:val="0"/>
          <w:iCs w:val="0"/>
          <w:caps w:val="0"/>
          <w:color w:val="auto"/>
          <w:spacing w:val="0"/>
          <w:kern w:val="0"/>
          <w:sz w:val="44"/>
          <w:szCs w:val="44"/>
          <w:u w:val="none"/>
          <w:lang w:val="en-US" w:eastAsia="zh-CN" w:bidi="ar"/>
        </w:rPr>
        <w:fldChar w:fldCharType="begin"/>
      </w:r>
      <w:r>
        <w:rPr>
          <w:rFonts w:hint="eastAsia" w:asciiTheme="majorEastAsia" w:hAnsiTheme="majorEastAsia" w:eastAsiaTheme="majorEastAsia" w:cstheme="majorEastAsia"/>
          <w:b/>
          <w:bCs/>
          <w:i w:val="0"/>
          <w:iCs w:val="0"/>
          <w:caps w:val="0"/>
          <w:color w:val="auto"/>
          <w:spacing w:val="0"/>
          <w:kern w:val="0"/>
          <w:sz w:val="44"/>
          <w:szCs w:val="44"/>
          <w:u w:val="none"/>
          <w:lang w:val="en-US" w:eastAsia="zh-CN" w:bidi="ar"/>
        </w:rPr>
        <w:instrText xml:space="preserve"> HYPERLINK "https://www.12309.gov.cn/12309/bszn/201902/t20190227_410403.shtml" </w:instrText>
      </w:r>
      <w:r>
        <w:rPr>
          <w:rFonts w:hint="eastAsia" w:asciiTheme="majorEastAsia" w:hAnsiTheme="majorEastAsia" w:eastAsiaTheme="majorEastAsia" w:cstheme="majorEastAsia"/>
          <w:b/>
          <w:bCs/>
          <w:i w:val="0"/>
          <w:iCs w:val="0"/>
          <w:caps w:val="0"/>
          <w:color w:val="auto"/>
          <w:spacing w:val="0"/>
          <w:kern w:val="0"/>
          <w:sz w:val="44"/>
          <w:szCs w:val="44"/>
          <w:u w:val="none"/>
          <w:lang w:val="en-US" w:eastAsia="zh-CN" w:bidi="ar"/>
        </w:rPr>
        <w:fldChar w:fldCharType="separate"/>
      </w:r>
      <w:r>
        <w:rPr>
          <w:rFonts w:hint="eastAsia" w:asciiTheme="majorEastAsia" w:hAnsiTheme="majorEastAsia" w:eastAsiaTheme="majorEastAsia" w:cstheme="majorEastAsia"/>
          <w:b/>
          <w:bCs/>
          <w:i w:val="0"/>
          <w:iCs w:val="0"/>
          <w:caps w:val="0"/>
          <w:color w:val="auto"/>
          <w:spacing w:val="0"/>
          <w:kern w:val="0"/>
          <w:sz w:val="44"/>
          <w:szCs w:val="44"/>
          <w:u w:val="none"/>
          <w:lang w:val="en-US" w:eastAsia="zh-CN" w:bidi="ar"/>
        </w:rPr>
        <w:fldChar w:fldCharType="end"/>
      </w:r>
      <w:r>
        <w:rPr>
          <w:rFonts w:hint="eastAsia" w:asciiTheme="majorEastAsia" w:hAnsiTheme="majorEastAsia" w:eastAsiaTheme="majorEastAsia" w:cstheme="majorEastAsia"/>
          <w:b/>
          <w:bCs/>
          <w:i w:val="0"/>
          <w:iCs w:val="0"/>
          <w:caps w:val="0"/>
          <w:color w:val="auto"/>
          <w:spacing w:val="0"/>
          <w:kern w:val="0"/>
          <w:sz w:val="44"/>
          <w:szCs w:val="44"/>
          <w:u w:val="none"/>
          <w:lang w:val="en-US" w:eastAsia="zh-CN" w:bidi="ar"/>
        </w:rPr>
        <w:fldChar w:fldCharType="begin"/>
      </w:r>
      <w:r>
        <w:rPr>
          <w:rFonts w:hint="eastAsia" w:asciiTheme="majorEastAsia" w:hAnsiTheme="majorEastAsia" w:eastAsiaTheme="majorEastAsia" w:cstheme="majorEastAsia"/>
          <w:b/>
          <w:bCs/>
          <w:i w:val="0"/>
          <w:iCs w:val="0"/>
          <w:caps w:val="0"/>
          <w:color w:val="auto"/>
          <w:spacing w:val="0"/>
          <w:kern w:val="0"/>
          <w:sz w:val="44"/>
          <w:szCs w:val="44"/>
          <w:u w:val="none"/>
          <w:lang w:val="en-US" w:eastAsia="zh-CN" w:bidi="ar"/>
        </w:rPr>
        <w:instrText xml:space="preserve"> HYPERLINK "https://www.12309.gov.cn/12309/bszn/201902/t20190227_410403.shtml" \o "分享到QQ空间" </w:instrText>
      </w:r>
      <w:r>
        <w:rPr>
          <w:rFonts w:hint="eastAsia" w:asciiTheme="majorEastAsia" w:hAnsiTheme="majorEastAsia" w:eastAsiaTheme="majorEastAsia" w:cstheme="majorEastAsia"/>
          <w:b/>
          <w:bCs/>
          <w:i w:val="0"/>
          <w:iCs w:val="0"/>
          <w:caps w:val="0"/>
          <w:color w:val="auto"/>
          <w:spacing w:val="0"/>
          <w:kern w:val="0"/>
          <w:sz w:val="44"/>
          <w:szCs w:val="44"/>
          <w:u w:val="none"/>
          <w:lang w:val="en-US" w:eastAsia="zh-CN" w:bidi="ar"/>
        </w:rPr>
        <w:fldChar w:fldCharType="separate"/>
      </w:r>
      <w:r>
        <w:rPr>
          <w:rFonts w:hint="eastAsia" w:asciiTheme="majorEastAsia" w:hAnsiTheme="majorEastAsia" w:eastAsiaTheme="majorEastAsia" w:cstheme="majorEastAsia"/>
          <w:b/>
          <w:bCs/>
          <w:i w:val="0"/>
          <w:iCs w:val="0"/>
          <w:caps w:val="0"/>
          <w:color w:val="auto"/>
          <w:spacing w:val="0"/>
          <w:kern w:val="0"/>
          <w:sz w:val="44"/>
          <w:szCs w:val="44"/>
          <w:u w:val="none"/>
          <w:lang w:val="en-US" w:eastAsia="zh-CN" w:bidi="ar"/>
        </w:rPr>
        <w:fldChar w:fldCharType="end"/>
      </w:r>
      <w:r>
        <w:rPr>
          <w:rFonts w:hint="eastAsia" w:asciiTheme="majorEastAsia" w:hAnsiTheme="majorEastAsia" w:eastAsiaTheme="majorEastAsia" w:cstheme="majorEastAsia"/>
          <w:b/>
          <w:bCs/>
          <w:i w:val="0"/>
          <w:iCs w:val="0"/>
          <w:caps w:val="0"/>
          <w:color w:val="auto"/>
          <w:spacing w:val="0"/>
          <w:kern w:val="0"/>
          <w:sz w:val="44"/>
          <w:szCs w:val="44"/>
          <w:u w:val="none"/>
          <w:lang w:val="en-US" w:eastAsia="zh-CN" w:bidi="ar"/>
        </w:rPr>
        <w:fldChar w:fldCharType="begin"/>
      </w:r>
      <w:r>
        <w:rPr>
          <w:rFonts w:hint="eastAsia" w:asciiTheme="majorEastAsia" w:hAnsiTheme="majorEastAsia" w:eastAsiaTheme="majorEastAsia" w:cstheme="majorEastAsia"/>
          <w:b/>
          <w:bCs/>
          <w:i w:val="0"/>
          <w:iCs w:val="0"/>
          <w:caps w:val="0"/>
          <w:color w:val="auto"/>
          <w:spacing w:val="0"/>
          <w:kern w:val="0"/>
          <w:sz w:val="44"/>
          <w:szCs w:val="44"/>
          <w:u w:val="none"/>
          <w:lang w:val="en-US" w:eastAsia="zh-CN" w:bidi="ar"/>
        </w:rPr>
        <w:instrText xml:space="preserve"> HYPERLINK "https://www.12309.gov.cn/12309/bszn/201902/t20190227_410403.shtml" \o "分享到新浪微博" </w:instrText>
      </w:r>
      <w:r>
        <w:rPr>
          <w:rFonts w:hint="eastAsia" w:asciiTheme="majorEastAsia" w:hAnsiTheme="majorEastAsia" w:eastAsiaTheme="majorEastAsia" w:cstheme="majorEastAsia"/>
          <w:b/>
          <w:bCs/>
          <w:i w:val="0"/>
          <w:iCs w:val="0"/>
          <w:caps w:val="0"/>
          <w:color w:val="auto"/>
          <w:spacing w:val="0"/>
          <w:kern w:val="0"/>
          <w:sz w:val="44"/>
          <w:szCs w:val="44"/>
          <w:u w:val="none"/>
          <w:lang w:val="en-US" w:eastAsia="zh-CN" w:bidi="ar"/>
        </w:rPr>
        <w:fldChar w:fldCharType="separate"/>
      </w:r>
      <w:r>
        <w:rPr>
          <w:rFonts w:hint="eastAsia" w:asciiTheme="majorEastAsia" w:hAnsiTheme="majorEastAsia" w:eastAsiaTheme="majorEastAsia" w:cstheme="majorEastAsia"/>
          <w:b/>
          <w:bCs/>
          <w:i w:val="0"/>
          <w:iCs w:val="0"/>
          <w:caps w:val="0"/>
          <w:color w:val="auto"/>
          <w:spacing w:val="0"/>
          <w:kern w:val="0"/>
          <w:sz w:val="44"/>
          <w:szCs w:val="44"/>
          <w:u w:val="none"/>
          <w:lang w:val="en-US" w:eastAsia="zh-CN" w:bidi="ar"/>
        </w:rPr>
        <w:fldChar w:fldCharType="end"/>
      </w:r>
      <w:r>
        <w:rPr>
          <w:rFonts w:hint="eastAsia" w:asciiTheme="majorEastAsia" w:hAnsiTheme="majorEastAsia" w:eastAsiaTheme="majorEastAsia" w:cstheme="majorEastAsia"/>
          <w:b/>
          <w:bCs/>
          <w:i w:val="0"/>
          <w:iCs w:val="0"/>
          <w:caps w:val="0"/>
          <w:color w:val="auto"/>
          <w:spacing w:val="0"/>
          <w:kern w:val="0"/>
          <w:sz w:val="44"/>
          <w:szCs w:val="44"/>
          <w:u w:val="none"/>
          <w:lang w:val="en-US" w:eastAsia="zh-CN" w:bidi="ar"/>
        </w:rPr>
        <w:fldChar w:fldCharType="begin"/>
      </w:r>
      <w:r>
        <w:rPr>
          <w:rFonts w:hint="eastAsia" w:asciiTheme="majorEastAsia" w:hAnsiTheme="majorEastAsia" w:eastAsiaTheme="majorEastAsia" w:cstheme="majorEastAsia"/>
          <w:b/>
          <w:bCs/>
          <w:i w:val="0"/>
          <w:iCs w:val="0"/>
          <w:caps w:val="0"/>
          <w:color w:val="auto"/>
          <w:spacing w:val="0"/>
          <w:kern w:val="0"/>
          <w:sz w:val="44"/>
          <w:szCs w:val="44"/>
          <w:u w:val="none"/>
          <w:lang w:val="en-US" w:eastAsia="zh-CN" w:bidi="ar"/>
        </w:rPr>
        <w:instrText xml:space="preserve"> HYPERLINK "https://www.12309.gov.cn/12309/bszn/201902/t20190227_410403.shtml" \o "分享到腾讯微博" </w:instrText>
      </w:r>
      <w:r>
        <w:rPr>
          <w:rFonts w:hint="eastAsia" w:asciiTheme="majorEastAsia" w:hAnsiTheme="majorEastAsia" w:eastAsiaTheme="majorEastAsia" w:cstheme="majorEastAsia"/>
          <w:b/>
          <w:bCs/>
          <w:i w:val="0"/>
          <w:iCs w:val="0"/>
          <w:caps w:val="0"/>
          <w:color w:val="auto"/>
          <w:spacing w:val="0"/>
          <w:kern w:val="0"/>
          <w:sz w:val="44"/>
          <w:szCs w:val="44"/>
          <w:u w:val="none"/>
          <w:lang w:val="en-US" w:eastAsia="zh-CN" w:bidi="ar"/>
        </w:rPr>
        <w:fldChar w:fldCharType="separate"/>
      </w:r>
      <w:r>
        <w:rPr>
          <w:rFonts w:hint="eastAsia" w:asciiTheme="majorEastAsia" w:hAnsiTheme="majorEastAsia" w:eastAsiaTheme="majorEastAsia" w:cstheme="majorEastAsia"/>
          <w:b/>
          <w:bCs/>
          <w:i w:val="0"/>
          <w:iCs w:val="0"/>
          <w:caps w:val="0"/>
          <w:color w:val="auto"/>
          <w:spacing w:val="0"/>
          <w:kern w:val="0"/>
          <w:sz w:val="44"/>
          <w:szCs w:val="44"/>
          <w:u w:val="non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bookmarkStart w:id="0" w:name="_GoBack"/>
      <w:r>
        <w:rPr>
          <w:rFonts w:hint="eastAsia" w:ascii="方正仿宋_GBK" w:hAnsi="方正仿宋_GBK" w:eastAsia="方正仿宋_GBK" w:cs="方正仿宋_GBK"/>
          <w:i w:val="0"/>
          <w:iCs w:val="0"/>
          <w:caps w:val="0"/>
          <w:color w:val="333333"/>
          <w:spacing w:val="0"/>
          <w:sz w:val="32"/>
          <w:szCs w:val="32"/>
        </w:rPr>
        <w:t>根据《人民检察院信访工作规定》、《人民检察院受理控告申诉依法导入法律程序实施办法》等规定，人民检察院受理以下信访事项：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1.不服人民检察院处理决定的控告、申诉；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2.反映公安机关侦查活动存在违法行为的控告、申诉；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3.不服人民法院生效判决、裁定的申诉；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4.反映判决、裁定的执行和监狱、看守所的活动存在违法行为的控告、申诉；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5.属于检察机关管辖的举报；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6.反映人民检察院工作人员违法违纪行为的控告；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7.加强、改进检察工作和队伍建设的建议和意见；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8.其他依法应当由人民检察院处理的信访事项。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属于以上受理范围，但其控告、申诉或者举报已依照《人民检察院刑事诉讼规则（试行）》、《人民检察院复查刑事申诉案件规定》、《人民检察院民事诉讼监督规则（试行）》等依法复查或者审查办理，或者已依法作出终结决定的，当事人就同一事实和理由继续控告申诉，除有法律规定的情形外，人民检察院不予受理。具有下列情形之一的，控告申诉人应当向公安机关提出，人民检察院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1.当事人和辩护人、诉讼代理人、利害关系人认为公安机关及其工作人员有刑事诉讼法第一百一十五条规定的行为，未向办理案件的公安机关申诉或者控告，或者办理案件的公安机关在规定的时间内尚未作出处理决定，直接向人民检察院申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2.被害人及其法定代理人、近亲属认为公安机关对其控告应当立案侦查而不立案侦查，向人民检察院提出，而公安机关尚未对刑事控告或报案作出不予立案决定的；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3.控告人、申诉人对公安机关正在办理的刑事案件，对有关办案程序提出复议、复核，应当由公安机关处理的；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4.对公安机关作出的行政处罚、行政许可、行政强制措施等决定不服，要求公安机关复议的；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5.对公安机关作出的火灾、交通事故认定及委托鉴定等不服，要求公安机关复核或者重新鉴定的；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6.因公安机关及其工作人员违法行使职权，造成损害，依法要求国家赔偿的；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7.控告公安民警违纪的；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8.其他属于公安机关职权范围的事项。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具有下列情形之一的，控告申诉人应当向人民法院提出，人民检察院不予受理：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1.当事人和辩护人、诉讼代理人、利害关系人认为人民法院及其工作人员有刑事诉讼法第一百一十五条规定的行为，未向办理案件的人民法院申诉或者控告，或者办理案件的人民法院在规定的时间内尚未作出处理决定，直接向人民检察院申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2.当事人不服人民法院已经发生法律效力的民事判决、裁定和调解书，未向人民法院申请再审，或者人民法院在法定期限内正在对民事再审申请进行审查，以民事诉讼法第二百零九条第一款规定为由直接向人民检察院申请监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3.当事人认为民事审判程序中审判人员存在违法行为或者民事执行活动存在违法情形，未依照法律规定提出异议、申请复议或者提起诉讼，且无正当理由，或者人民法院已经受理异议、复议申请，在法定期限内正在审查处理，直接向人民检察院申请监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4.控告法官违纪的；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420"/>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iCs w:val="0"/>
          <w:caps w:val="0"/>
          <w:color w:val="333333"/>
          <w:spacing w:val="0"/>
          <w:sz w:val="32"/>
          <w:szCs w:val="32"/>
        </w:rPr>
        <w:t>5.其他属于人民法院职权范围的事项。</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yZjQ3YzIwZDYyMjk0Nzk5OGE1YWFlZmQzODUxZWQifQ=="/>
  </w:docVars>
  <w:rsids>
    <w:rsidRoot w:val="00000000"/>
    <w:rsid w:val="44A96B5C"/>
    <w:rsid w:val="7DFE5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2022-07-05T14:59:00Z</dcterms:created>
  <dc:creator>Administrator</dc:creator>
  <cp:lastModifiedBy>jianchayuan</cp:lastModifiedBy>
  <dcterms:modified xsi:type="dcterms:W3CDTF">2022-07-08T08:56:42Z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934DB8D471D44CD79855E35EA5A1D09C</vt:lpwstr>
  </property>
</Properties>
</file>